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4A" w:rsidRPr="00281B4A" w:rsidRDefault="00281B4A" w:rsidP="00281B4A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 w:rsidRPr="00281B4A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281B4A" w:rsidRDefault="00281B4A" w:rsidP="00281B4A">
      <w:pPr>
        <w:pStyle w:val="a4"/>
        <w:spacing w:line="560" w:lineRule="exact"/>
        <w:rPr>
          <w:rFonts w:ascii="Times New Roman" w:eastAsia="方正小标宋_GBK" w:hAnsi="Times New Roman" w:hint="eastAsia"/>
          <w:sz w:val="44"/>
          <w:szCs w:val="44"/>
        </w:rPr>
      </w:pPr>
    </w:p>
    <w:p w:rsidR="00281B4A" w:rsidRDefault="00281B4A" w:rsidP="00281B4A">
      <w:pPr>
        <w:pStyle w:val="a4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sz w:val="44"/>
          <w:szCs w:val="44"/>
        </w:rPr>
        <w:t>广东省中等职业技术教育专业技能课程</w:t>
      </w:r>
      <w:bookmarkEnd w:id="0"/>
    </w:p>
    <w:p w:rsidR="00281B4A" w:rsidRDefault="00281B4A" w:rsidP="00281B4A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考试收费标准</w:t>
      </w:r>
    </w:p>
    <w:p w:rsidR="00281B4A" w:rsidRDefault="00281B4A" w:rsidP="00281B4A">
      <w:pPr>
        <w:pStyle w:val="a4"/>
        <w:spacing w:line="560" w:lineRule="exact"/>
        <w:ind w:firstLineChars="200" w:firstLine="480"/>
        <w:rPr>
          <w:rFonts w:ascii="Times New Roman" w:hAnsi="Times New Roman" w:hint="eastAsia"/>
          <w:sz w:val="24"/>
        </w:rPr>
      </w:pPr>
    </w:p>
    <w:p w:rsidR="00281B4A" w:rsidRDefault="00281B4A" w:rsidP="00281B4A">
      <w:pPr>
        <w:pStyle w:val="a4"/>
        <w:spacing w:line="560" w:lineRule="exact"/>
        <w:ind w:firstLineChars="200" w:firstLine="5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根据粤价函〔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号文和粤价函〔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63</w:t>
      </w:r>
      <w:r>
        <w:rPr>
          <w:rFonts w:ascii="Times New Roman" w:eastAsia="仿宋_GB2312" w:hAnsi="Times New Roman" w:hint="eastAsia"/>
          <w:sz w:val="28"/>
          <w:szCs w:val="28"/>
        </w:rPr>
        <w:t>号文的批复，中等职业技术教育专业技能课程考试收费标准如下（计算单位：元</w:t>
      </w:r>
      <w:r>
        <w:rPr>
          <w:rFonts w:ascii="Times New Roman" w:eastAsia="仿宋_GB2312" w:hAnsi="Times New Roman" w:hint="eastAsia"/>
          <w:sz w:val="28"/>
          <w:szCs w:val="28"/>
        </w:rPr>
        <w:t>/</w:t>
      </w:r>
      <w:r>
        <w:rPr>
          <w:rFonts w:ascii="Times New Roman" w:eastAsia="仿宋_GB2312" w:hAnsi="Times New Roman" w:hint="eastAsia"/>
          <w:sz w:val="28"/>
          <w:szCs w:val="28"/>
        </w:rPr>
        <w:t>生）：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281B4A" w:rsidTr="00CD4B2E">
        <w:trPr>
          <w:trHeight w:val="889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281B4A" w:rsidRDefault="00281B4A" w:rsidP="00CD4B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:rsidR="00281B4A" w:rsidRDefault="00281B4A" w:rsidP="00CD4B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:rsidR="00281B4A" w:rsidRDefault="00281B4A" w:rsidP="00CD4B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:rsidR="00281B4A" w:rsidRDefault="00281B4A" w:rsidP="00CD4B2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135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281B4A" w:rsidTr="00CD4B2E">
        <w:trPr>
          <w:trHeight w:val="694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115</w:t>
            </w:r>
          </w:p>
        </w:tc>
      </w:tr>
      <w:tr w:rsidR="00281B4A" w:rsidTr="00CD4B2E">
        <w:trPr>
          <w:trHeight w:val="571"/>
          <w:jc w:val="center"/>
        </w:trPr>
        <w:tc>
          <w:tcPr>
            <w:tcW w:w="3085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281B4A" w:rsidRDefault="00281B4A" w:rsidP="00CD4B2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</w:tr>
    </w:tbl>
    <w:p w:rsidR="00281B4A" w:rsidRDefault="00281B4A" w:rsidP="00281B4A">
      <w:pPr>
        <w:spacing w:line="560" w:lineRule="exact"/>
        <w:rPr>
          <w:rFonts w:ascii="Times New Roman" w:eastAsia="楷体_GB2312" w:hAnsi="Times New Roman" w:hint="eastAsia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sz w:val="28"/>
          <w:szCs w:val="28"/>
        </w:rPr>
        <w:t>注：《护理》和《烹饪》两门课程的理论和操作技能收费标准均参照《生物技术基础》收费标准执行。</w:t>
      </w:r>
    </w:p>
    <w:p w:rsidR="003213A9" w:rsidRPr="00281B4A" w:rsidRDefault="003213A9" w:rsidP="00281B4A">
      <w:pPr>
        <w:spacing w:line="560" w:lineRule="exact"/>
        <w:rPr>
          <w:rFonts w:ascii="Times New Roman" w:eastAsia="黑体" w:hAnsi="Times New Roman" w:hint="eastAsia"/>
          <w:bCs/>
          <w:sz w:val="32"/>
        </w:rPr>
      </w:pPr>
    </w:p>
    <w:sectPr w:rsidR="003213A9" w:rsidRPr="0028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4A"/>
    <w:rsid w:val="00281B4A"/>
    <w:rsid w:val="003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0A3A"/>
  <w15:chartTrackingRefBased/>
  <w15:docId w15:val="{1E6B454B-76A1-4352-B400-F7466D8C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281B4A"/>
    <w:rPr>
      <w:rFonts w:ascii="宋体" w:hAnsi="Courier New"/>
    </w:rPr>
  </w:style>
  <w:style w:type="paragraph" w:styleId="a4">
    <w:name w:val="Plain Text"/>
    <w:basedOn w:val="a"/>
    <w:link w:val="a3"/>
    <w:rsid w:val="00281B4A"/>
    <w:rPr>
      <w:rFonts w:ascii="宋体" w:eastAsiaTheme="minorEastAsia" w:hAnsi="Courier New" w:cstheme="minorBidi"/>
    </w:rPr>
  </w:style>
  <w:style w:type="character" w:customStyle="1" w:styleId="1">
    <w:name w:val="纯文本 字符1"/>
    <w:basedOn w:val="a0"/>
    <w:uiPriority w:val="99"/>
    <w:semiHidden/>
    <w:rsid w:val="00281B4A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2021-03-24T03:46:00Z</dcterms:created>
  <dcterms:modified xsi:type="dcterms:W3CDTF">2021-03-24T03:46:00Z</dcterms:modified>
</cp:coreProperties>
</file>