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140"/>
        </w:tabs>
        <w:adjustRightInd w:val="0"/>
        <w:snapToGrid w:val="0"/>
        <w:spacing w:line="540" w:lineRule="exact"/>
        <w:ind w:right="365" w:rightChars="174"/>
        <w:jc w:val="left"/>
        <w:rPr>
          <w:kern w:val="0"/>
          <w:sz w:val="20"/>
          <w:szCs w:val="20"/>
          <w:highlight w:val="none"/>
        </w:rPr>
      </w:pPr>
      <w:r>
        <w:rPr>
          <w:rFonts w:eastAsia="黑体"/>
          <w:bCs/>
          <w:kern w:val="0"/>
          <w:sz w:val="32"/>
          <w:szCs w:val="32"/>
          <w:highlight w:val="none"/>
        </w:rPr>
        <w:t>附件1</w:t>
      </w:r>
    </w:p>
    <w:p>
      <w:pPr>
        <w:adjustRightInd w:val="0"/>
        <w:snapToGrid w:val="0"/>
        <w:spacing w:after="156" w:afterLines="50" w:line="240" w:lineRule="atLeast"/>
        <w:jc w:val="center"/>
        <w:rPr>
          <w:rFonts w:eastAsia="方正小标宋_GBK"/>
          <w:b/>
          <w:sz w:val="36"/>
          <w:szCs w:val="36"/>
          <w:highlight w:val="none"/>
        </w:rPr>
      </w:pPr>
      <w:r>
        <w:rPr>
          <w:rFonts w:hint="eastAsia" w:eastAsia="方正小标宋_GBK"/>
          <w:sz w:val="36"/>
          <w:szCs w:val="36"/>
          <w:highlight w:val="none"/>
        </w:rPr>
        <w:t>2024年</w:t>
      </w:r>
      <w:r>
        <w:rPr>
          <w:rFonts w:eastAsia="方正小标宋_GBK"/>
          <w:sz w:val="36"/>
          <w:szCs w:val="36"/>
          <w:highlight w:val="none"/>
        </w:rPr>
        <w:t>广州市高中阶段学校招生填报志愿模拟表</w:t>
      </w:r>
    </w:p>
    <w:tbl>
      <w:tblPr>
        <w:tblStyle w:val="3"/>
        <w:tblW w:w="9041" w:type="dxa"/>
        <w:jc w:val="center"/>
        <w:tblLayout w:type="fixed"/>
        <w:tblCellMar>
          <w:top w:w="0" w:type="dxa"/>
          <w:left w:w="108" w:type="dxa"/>
          <w:bottom w:w="0" w:type="dxa"/>
          <w:right w:w="108" w:type="dxa"/>
        </w:tblCellMar>
      </w:tblPr>
      <w:tblGrid>
        <w:gridCol w:w="463"/>
        <w:gridCol w:w="2550"/>
        <w:gridCol w:w="772"/>
        <w:gridCol w:w="2483"/>
        <w:gridCol w:w="352"/>
        <w:gridCol w:w="11"/>
        <w:gridCol w:w="1548"/>
        <w:gridCol w:w="854"/>
        <w:gridCol w:w="8"/>
      </w:tblGrid>
      <w:tr>
        <w:tblPrEx>
          <w:tblCellMar>
            <w:top w:w="0" w:type="dxa"/>
            <w:left w:w="108" w:type="dxa"/>
            <w:bottom w:w="0" w:type="dxa"/>
            <w:right w:w="108" w:type="dxa"/>
          </w:tblCellMar>
        </w:tblPrEx>
        <w:trPr>
          <w:gridAfter w:val="1"/>
          <w:wAfter w:w="8" w:type="dxa"/>
          <w:trHeight w:val="193" w:hRule="atLeast"/>
          <w:tblHeader/>
          <w:jc w:val="center"/>
        </w:trPr>
        <w:tc>
          <w:tcPr>
            <w:tcW w:w="3013" w:type="dxa"/>
            <w:gridSpan w:val="2"/>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280" w:lineRule="atLeast"/>
              <w:jc w:val="center"/>
              <w:rPr>
                <w:rFonts w:eastAsia="黑体"/>
                <w:bCs/>
                <w:color w:val="000000"/>
                <w:kern w:val="0"/>
                <w:szCs w:val="21"/>
                <w:highlight w:val="none"/>
              </w:rPr>
            </w:pPr>
            <w:r>
              <w:rPr>
                <w:rFonts w:eastAsia="黑体"/>
                <w:bCs/>
                <w:color w:val="000000"/>
                <w:kern w:val="0"/>
                <w:szCs w:val="21"/>
                <w:highlight w:val="none"/>
              </w:rPr>
              <w:t>录取批次</w:t>
            </w:r>
          </w:p>
        </w:tc>
        <w:tc>
          <w:tcPr>
            <w:tcW w:w="772"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atLeast"/>
              <w:jc w:val="center"/>
              <w:rPr>
                <w:rFonts w:eastAsia="黑体"/>
                <w:bCs/>
                <w:color w:val="000000"/>
                <w:kern w:val="0"/>
                <w:szCs w:val="21"/>
                <w:highlight w:val="none"/>
              </w:rPr>
            </w:pPr>
            <w:r>
              <w:rPr>
                <w:rFonts w:eastAsia="黑体"/>
                <w:bCs/>
                <w:color w:val="000000"/>
                <w:kern w:val="0"/>
                <w:szCs w:val="21"/>
                <w:highlight w:val="none"/>
              </w:rPr>
              <w:t>志愿序号</w:t>
            </w:r>
          </w:p>
        </w:tc>
        <w:tc>
          <w:tcPr>
            <w:tcW w:w="248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atLeast"/>
              <w:jc w:val="center"/>
              <w:rPr>
                <w:rFonts w:eastAsia="黑体"/>
                <w:bCs/>
                <w:color w:val="000000"/>
                <w:kern w:val="0"/>
                <w:szCs w:val="21"/>
                <w:highlight w:val="none"/>
              </w:rPr>
            </w:pPr>
            <w:r>
              <w:rPr>
                <w:rFonts w:eastAsia="黑体"/>
                <w:bCs/>
                <w:color w:val="000000"/>
                <w:kern w:val="0"/>
                <w:szCs w:val="21"/>
                <w:highlight w:val="none"/>
              </w:rPr>
              <w:t>学校名称</w:t>
            </w:r>
          </w:p>
        </w:tc>
        <w:tc>
          <w:tcPr>
            <w:tcW w:w="1911"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atLeast"/>
              <w:jc w:val="center"/>
              <w:rPr>
                <w:rFonts w:eastAsia="黑体"/>
                <w:bCs/>
                <w:color w:val="000000"/>
                <w:kern w:val="0"/>
                <w:szCs w:val="21"/>
                <w:highlight w:val="none"/>
              </w:rPr>
            </w:pPr>
            <w:r>
              <w:rPr>
                <w:rFonts w:eastAsia="黑体"/>
                <w:bCs/>
                <w:color w:val="000000"/>
                <w:kern w:val="0"/>
                <w:szCs w:val="21"/>
                <w:highlight w:val="none"/>
              </w:rPr>
              <w:t>中职专业名称</w:t>
            </w:r>
          </w:p>
        </w:tc>
        <w:tc>
          <w:tcPr>
            <w:tcW w:w="8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80" w:lineRule="atLeast"/>
              <w:jc w:val="left"/>
              <w:rPr>
                <w:rFonts w:eastAsia="黑体"/>
                <w:bCs/>
                <w:color w:val="000000"/>
                <w:kern w:val="0"/>
                <w:szCs w:val="21"/>
                <w:highlight w:val="none"/>
              </w:rPr>
            </w:pPr>
            <w:r>
              <w:rPr>
                <w:rFonts w:eastAsia="黑体"/>
                <w:bCs/>
                <w:color w:val="000000"/>
                <w:kern w:val="0"/>
                <w:szCs w:val="21"/>
                <w:highlight w:val="none"/>
              </w:rPr>
              <w:t>是否</w:t>
            </w:r>
            <w:r>
              <w:rPr>
                <w:rFonts w:hint="eastAsia" w:eastAsia="黑体"/>
                <w:bCs/>
                <w:color w:val="000000"/>
                <w:kern w:val="0"/>
                <w:szCs w:val="21"/>
                <w:highlight w:val="none"/>
              </w:rPr>
              <w:t>服从</w:t>
            </w:r>
            <w:r>
              <w:rPr>
                <w:rFonts w:eastAsia="黑体"/>
                <w:bCs/>
                <w:color w:val="000000"/>
                <w:kern w:val="0"/>
                <w:szCs w:val="21"/>
                <w:highlight w:val="none"/>
              </w:rPr>
              <w:t>专业</w:t>
            </w:r>
            <w:r>
              <w:rPr>
                <w:rFonts w:hint="eastAsia" w:eastAsia="黑体"/>
                <w:bCs/>
                <w:color w:val="000000"/>
                <w:kern w:val="0"/>
                <w:szCs w:val="21"/>
                <w:highlight w:val="none"/>
              </w:rPr>
              <w:t>调剂</w:t>
            </w: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restart"/>
            <w:tcBorders>
              <w:top w:val="nil"/>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r>
              <w:rPr>
                <w:color w:val="000000"/>
                <w:kern w:val="0"/>
                <w:szCs w:val="21"/>
                <w:highlight w:val="none"/>
              </w:rPr>
              <w:t>第一批次</w:t>
            </w:r>
          </w:p>
        </w:tc>
        <w:tc>
          <w:tcPr>
            <w:tcW w:w="2550" w:type="dxa"/>
            <w:tcBorders>
              <w:top w:val="nil"/>
              <w:left w:val="nil"/>
              <w:bottom w:val="single" w:color="auto" w:sz="4" w:space="0"/>
              <w:right w:val="single" w:color="auto" w:sz="4" w:space="0"/>
            </w:tcBorders>
            <w:noWrap/>
            <w:vAlign w:val="center"/>
          </w:tcPr>
          <w:p>
            <w:pPr>
              <w:widowControl/>
              <w:adjustRightInd w:val="0"/>
              <w:snapToGrid w:val="0"/>
              <w:spacing w:line="240" w:lineRule="atLeast"/>
              <w:jc w:val="left"/>
              <w:rPr>
                <w:color w:val="000000"/>
                <w:kern w:val="0"/>
                <w:szCs w:val="21"/>
                <w:highlight w:val="none"/>
              </w:rPr>
            </w:pPr>
            <w:r>
              <w:rPr>
                <w:color w:val="000000"/>
                <w:kern w:val="0"/>
                <w:szCs w:val="21"/>
                <w:highlight w:val="none"/>
              </w:rPr>
              <w:t>普通高中特长生</w:t>
            </w:r>
          </w:p>
        </w:tc>
        <w:tc>
          <w:tcPr>
            <w:tcW w:w="772" w:type="dxa"/>
            <w:tcBorders>
              <w:top w:val="nil"/>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1</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restart"/>
            <w:tcBorders>
              <w:top w:val="nil"/>
              <w:left w:val="nil"/>
              <w:right w:val="single" w:color="auto" w:sz="4" w:space="0"/>
            </w:tcBorders>
            <w:noWrap w:val="0"/>
            <w:vAlign w:val="center"/>
          </w:tcPr>
          <w:p>
            <w:pPr>
              <w:widowControl/>
              <w:jc w:val="center"/>
              <w:rPr>
                <w:color w:val="000000"/>
                <w:kern w:val="0"/>
                <w:szCs w:val="21"/>
                <w:highlight w:val="none"/>
              </w:rPr>
            </w:pPr>
          </w:p>
        </w:tc>
        <w:tc>
          <w:tcPr>
            <w:tcW w:w="854" w:type="dxa"/>
            <w:vMerge w:val="restart"/>
            <w:tcBorders>
              <w:top w:val="nil"/>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p>
        </w:tc>
        <w:tc>
          <w:tcPr>
            <w:tcW w:w="2550" w:type="dxa"/>
            <w:tcBorders>
              <w:top w:val="nil"/>
              <w:left w:val="nil"/>
              <w:bottom w:val="single" w:color="auto" w:sz="4" w:space="0"/>
              <w:right w:val="single" w:color="auto" w:sz="4" w:space="0"/>
            </w:tcBorders>
            <w:noWrap/>
            <w:vAlign w:val="center"/>
          </w:tcPr>
          <w:p>
            <w:pPr>
              <w:widowControl/>
              <w:adjustRightInd w:val="0"/>
              <w:snapToGrid w:val="0"/>
              <w:spacing w:line="240" w:lineRule="atLeast"/>
              <w:jc w:val="left"/>
              <w:rPr>
                <w:color w:val="000000"/>
                <w:kern w:val="0"/>
                <w:szCs w:val="21"/>
                <w:highlight w:val="none"/>
              </w:rPr>
            </w:pPr>
            <w:r>
              <w:rPr>
                <w:color w:val="000000"/>
                <w:kern w:val="0"/>
                <w:szCs w:val="21"/>
                <w:highlight w:val="none"/>
              </w:rPr>
              <w:t>普通高中自主招生</w:t>
            </w:r>
          </w:p>
        </w:tc>
        <w:tc>
          <w:tcPr>
            <w:tcW w:w="772" w:type="dxa"/>
            <w:tcBorders>
              <w:top w:val="nil"/>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1</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p>
        </w:tc>
        <w:tc>
          <w:tcPr>
            <w:tcW w:w="2550" w:type="dxa"/>
            <w:tcBorders>
              <w:top w:val="nil"/>
              <w:left w:val="nil"/>
              <w:bottom w:val="single" w:color="auto" w:sz="4" w:space="0"/>
              <w:right w:val="single" w:color="auto" w:sz="4" w:space="0"/>
            </w:tcBorders>
            <w:noWrap/>
            <w:vAlign w:val="center"/>
          </w:tcPr>
          <w:p>
            <w:pPr>
              <w:widowControl/>
              <w:adjustRightInd w:val="0"/>
              <w:snapToGrid w:val="0"/>
              <w:spacing w:line="240" w:lineRule="atLeast"/>
              <w:jc w:val="left"/>
              <w:rPr>
                <w:color w:val="000000"/>
                <w:kern w:val="0"/>
                <w:szCs w:val="21"/>
                <w:highlight w:val="none"/>
              </w:rPr>
            </w:pPr>
            <w:r>
              <w:rPr>
                <w:color w:val="000000"/>
                <w:kern w:val="0"/>
                <w:szCs w:val="21"/>
                <w:highlight w:val="none"/>
              </w:rPr>
              <w:t>普通高中外语、艺术类</w:t>
            </w:r>
          </w:p>
        </w:tc>
        <w:tc>
          <w:tcPr>
            <w:tcW w:w="772" w:type="dxa"/>
            <w:tcBorders>
              <w:top w:val="nil"/>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1</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restart"/>
            <w:tcBorders>
              <w:top w:val="nil"/>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r>
              <w:rPr>
                <w:color w:val="000000"/>
                <w:kern w:val="0"/>
                <w:szCs w:val="21"/>
                <w:highlight w:val="none"/>
              </w:rPr>
              <w:t>公办普通高中港澳子弟班</w:t>
            </w:r>
          </w:p>
        </w:tc>
        <w:tc>
          <w:tcPr>
            <w:tcW w:w="772" w:type="dxa"/>
            <w:tcBorders>
              <w:top w:val="nil"/>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1</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tcBorders>
              <w:top w:val="nil"/>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2</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restart"/>
            <w:tcBorders>
              <w:top w:val="nil"/>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r>
              <w:rPr>
                <w:color w:val="000000"/>
                <w:kern w:val="0"/>
                <w:szCs w:val="21"/>
                <w:highlight w:val="none"/>
              </w:rPr>
              <w:t>中职三二分段及省级以上重点特色专业招生计划</w:t>
            </w:r>
          </w:p>
        </w:tc>
        <w:tc>
          <w:tcPr>
            <w:tcW w:w="772" w:type="dxa"/>
            <w:vMerge w:val="restart"/>
            <w:tcBorders>
              <w:top w:val="nil"/>
              <w:left w:val="nil"/>
              <w:right w:val="single" w:color="auto" w:sz="4" w:space="0"/>
            </w:tcBorders>
            <w:noWrap w:val="0"/>
            <w:vAlign w:val="center"/>
          </w:tcPr>
          <w:p>
            <w:pPr>
              <w:widowControl/>
              <w:jc w:val="center"/>
              <w:rPr>
                <w:color w:val="000000"/>
                <w:kern w:val="0"/>
                <w:szCs w:val="21"/>
                <w:highlight w:val="none"/>
              </w:rPr>
            </w:pPr>
            <w:r>
              <w:rPr>
                <w:color w:val="000000"/>
                <w:kern w:val="0"/>
                <w:szCs w:val="21"/>
                <w:highlight w:val="none"/>
              </w:rPr>
              <w:t>1</w:t>
            </w:r>
          </w:p>
        </w:tc>
        <w:tc>
          <w:tcPr>
            <w:tcW w:w="2483" w:type="dxa"/>
            <w:vMerge w:val="restart"/>
            <w:tcBorders>
              <w:top w:val="nil"/>
              <w:left w:val="nil"/>
              <w:right w:val="single" w:color="auto" w:sz="4" w:space="0"/>
            </w:tcBorders>
            <w:noWrap w:val="0"/>
            <w:vAlign w:val="center"/>
          </w:tcPr>
          <w:p>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restart"/>
            <w:tcBorders>
              <w:top w:val="nil"/>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0"/>
            <w:vAlign w:val="center"/>
          </w:tcPr>
          <w:p>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7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0"/>
            <w:vAlign w:val="center"/>
          </w:tcPr>
          <w:p>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7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0"/>
            <w:vAlign w:val="center"/>
          </w:tcPr>
          <w:p>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restart"/>
            <w:tcBorders>
              <w:top w:val="nil"/>
              <w:left w:val="nil"/>
              <w:right w:val="single" w:color="auto" w:sz="4" w:space="0"/>
            </w:tcBorders>
            <w:noWrap w:val="0"/>
            <w:vAlign w:val="center"/>
          </w:tcPr>
          <w:p>
            <w:pPr>
              <w:widowControl/>
              <w:jc w:val="center"/>
              <w:rPr>
                <w:color w:val="000000"/>
                <w:kern w:val="0"/>
                <w:szCs w:val="21"/>
                <w:highlight w:val="none"/>
              </w:rPr>
            </w:pPr>
            <w:r>
              <w:rPr>
                <w:color w:val="000000"/>
                <w:kern w:val="0"/>
                <w:szCs w:val="21"/>
                <w:highlight w:val="none"/>
              </w:rPr>
              <w:t>2</w:t>
            </w:r>
          </w:p>
        </w:tc>
        <w:tc>
          <w:tcPr>
            <w:tcW w:w="2483" w:type="dxa"/>
            <w:vMerge w:val="restart"/>
            <w:tcBorders>
              <w:top w:val="nil"/>
              <w:left w:val="nil"/>
              <w:right w:val="single" w:color="auto" w:sz="4" w:space="0"/>
            </w:tcBorders>
            <w:noWrap w:val="0"/>
            <w:vAlign w:val="center"/>
          </w:tcPr>
          <w:p>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restart"/>
            <w:tcBorders>
              <w:top w:val="nil"/>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top"/>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top"/>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top"/>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restart"/>
            <w:tcBorders>
              <w:left w:val="nil"/>
              <w:right w:val="single" w:color="auto" w:sz="4" w:space="0"/>
            </w:tcBorders>
            <w:noWrap w:val="0"/>
            <w:vAlign w:val="center"/>
          </w:tcPr>
          <w:p>
            <w:pPr>
              <w:widowControl/>
              <w:jc w:val="center"/>
              <w:rPr>
                <w:color w:val="000000"/>
                <w:kern w:val="0"/>
                <w:szCs w:val="21"/>
                <w:highlight w:val="none"/>
              </w:rPr>
            </w:pPr>
            <w:r>
              <w:rPr>
                <w:color w:val="000000"/>
                <w:kern w:val="0"/>
                <w:szCs w:val="21"/>
                <w:highlight w:val="none"/>
              </w:rPr>
              <w:t>3</w:t>
            </w:r>
          </w:p>
        </w:tc>
        <w:tc>
          <w:tcPr>
            <w:tcW w:w="2483" w:type="dxa"/>
            <w:vMerge w:val="restart"/>
            <w:tcBorders>
              <w:left w:val="nil"/>
              <w:right w:val="single" w:color="auto" w:sz="4" w:space="0"/>
            </w:tcBorders>
            <w:noWrap w:val="0"/>
            <w:vAlign w:val="center"/>
          </w:tcPr>
          <w:p>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restart"/>
            <w:tcBorders>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0"/>
            <w:vAlign w:val="center"/>
          </w:tcPr>
          <w:p>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0"/>
            <w:vAlign w:val="center"/>
          </w:tcPr>
          <w:p>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0"/>
            <w:vAlign w:val="center"/>
          </w:tcPr>
          <w:p>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restart"/>
            <w:tcBorders>
              <w:left w:val="nil"/>
              <w:right w:val="single" w:color="auto" w:sz="4" w:space="0"/>
            </w:tcBorders>
            <w:noWrap w:val="0"/>
            <w:vAlign w:val="center"/>
          </w:tcPr>
          <w:p>
            <w:pPr>
              <w:widowControl/>
              <w:jc w:val="center"/>
              <w:rPr>
                <w:color w:val="000000"/>
                <w:kern w:val="0"/>
                <w:szCs w:val="21"/>
                <w:highlight w:val="none"/>
              </w:rPr>
            </w:pPr>
            <w:r>
              <w:rPr>
                <w:color w:val="000000"/>
                <w:kern w:val="0"/>
                <w:szCs w:val="21"/>
                <w:highlight w:val="none"/>
              </w:rPr>
              <w:t>4</w:t>
            </w:r>
          </w:p>
        </w:tc>
        <w:tc>
          <w:tcPr>
            <w:tcW w:w="2483" w:type="dxa"/>
            <w:vMerge w:val="restart"/>
            <w:tcBorders>
              <w:left w:val="nil"/>
              <w:right w:val="single" w:color="auto" w:sz="4" w:space="0"/>
            </w:tcBorders>
            <w:noWrap w:val="0"/>
            <w:vAlign w:val="center"/>
          </w:tcPr>
          <w:p>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restart"/>
            <w:tcBorders>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0"/>
            <w:vAlign w:val="center"/>
          </w:tcPr>
          <w:p>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top"/>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0"/>
            <w:vAlign w:val="center"/>
          </w:tcPr>
          <w:p>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top"/>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0" w:hRule="atLeast"/>
          <w:jc w:val="center"/>
        </w:trPr>
        <w:tc>
          <w:tcPr>
            <w:tcW w:w="463"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0"/>
            <w:vAlign w:val="center"/>
          </w:tcPr>
          <w:p>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48" w:type="dxa"/>
            <w:tcBorders>
              <w:top w:val="nil"/>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top"/>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356" w:hRule="atLeast"/>
          <w:jc w:val="center"/>
        </w:trPr>
        <w:tc>
          <w:tcPr>
            <w:tcW w:w="463" w:type="dxa"/>
            <w:vMerge w:val="restart"/>
            <w:tcBorders>
              <w:top w:val="nil"/>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r>
              <w:rPr>
                <w:color w:val="000000"/>
                <w:kern w:val="0"/>
                <w:szCs w:val="21"/>
                <w:highlight w:val="none"/>
              </w:rPr>
              <w:t>第二批次</w:t>
            </w:r>
          </w:p>
        </w:tc>
        <w:tc>
          <w:tcPr>
            <w:tcW w:w="2550" w:type="dxa"/>
            <w:vMerge w:val="restart"/>
            <w:tcBorders>
              <w:top w:val="nil"/>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r>
              <w:rPr>
                <w:color w:val="000000"/>
                <w:kern w:val="0"/>
                <w:szCs w:val="21"/>
                <w:highlight w:val="none"/>
              </w:rPr>
              <w:t>公办的示范性普通高中和省一级普通高中名额分配计划</w:t>
            </w: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1</w:t>
            </w:r>
          </w:p>
        </w:tc>
        <w:tc>
          <w:tcPr>
            <w:tcW w:w="2483" w:type="dxa"/>
            <w:tcBorders>
              <w:top w:val="single" w:color="auto" w:sz="4" w:space="0"/>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restart"/>
            <w:tcBorders>
              <w:top w:val="nil"/>
              <w:left w:val="nil"/>
              <w:right w:val="single" w:color="auto" w:sz="4" w:space="0"/>
            </w:tcBorders>
            <w:noWrap w:val="0"/>
            <w:vAlign w:val="center"/>
          </w:tcPr>
          <w:p>
            <w:pPr>
              <w:widowControl/>
              <w:jc w:val="center"/>
              <w:rPr>
                <w:color w:val="000000"/>
                <w:kern w:val="0"/>
                <w:szCs w:val="21"/>
                <w:highlight w:val="none"/>
              </w:rPr>
            </w:pPr>
          </w:p>
        </w:tc>
        <w:tc>
          <w:tcPr>
            <w:tcW w:w="854" w:type="dxa"/>
            <w:vMerge w:val="restart"/>
            <w:tcBorders>
              <w:top w:val="nil"/>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356" w:hRule="atLeast"/>
          <w:jc w:val="center"/>
        </w:trPr>
        <w:tc>
          <w:tcPr>
            <w:tcW w:w="463" w:type="dxa"/>
            <w:vMerge w:val="continue"/>
            <w:tcBorders>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2</w:t>
            </w:r>
          </w:p>
        </w:tc>
        <w:tc>
          <w:tcPr>
            <w:tcW w:w="2483" w:type="dxa"/>
            <w:tcBorders>
              <w:top w:val="single" w:color="auto" w:sz="4" w:space="0"/>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357" w:hRule="atLeast"/>
          <w:jc w:val="center"/>
        </w:trPr>
        <w:tc>
          <w:tcPr>
            <w:tcW w:w="463" w:type="dxa"/>
            <w:vMerge w:val="continue"/>
            <w:tcBorders>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3</w:t>
            </w:r>
          </w:p>
        </w:tc>
        <w:tc>
          <w:tcPr>
            <w:tcW w:w="2483" w:type="dxa"/>
            <w:tcBorders>
              <w:top w:val="single" w:color="auto" w:sz="4" w:space="0"/>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restart"/>
            <w:tcBorders>
              <w:top w:val="nil"/>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r>
              <w:rPr>
                <w:color w:val="000000"/>
                <w:kern w:val="0"/>
                <w:szCs w:val="21"/>
                <w:highlight w:val="none"/>
              </w:rPr>
              <w:t>第三批次</w:t>
            </w:r>
          </w:p>
        </w:tc>
        <w:tc>
          <w:tcPr>
            <w:tcW w:w="2550" w:type="dxa"/>
            <w:vMerge w:val="restart"/>
            <w:tcBorders>
              <w:top w:val="nil"/>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r>
              <w:rPr>
                <w:color w:val="000000"/>
                <w:kern w:val="0"/>
                <w:szCs w:val="21"/>
                <w:highlight w:val="none"/>
              </w:rPr>
              <w:t>示范性普通高中其他（剩余）招生计划；引入</w:t>
            </w:r>
            <w:r>
              <w:rPr>
                <w:rFonts w:hint="eastAsia"/>
                <w:color w:val="000000"/>
                <w:kern w:val="0"/>
                <w:szCs w:val="21"/>
                <w:highlight w:val="none"/>
                <w:lang w:val="en-US" w:eastAsia="zh-CN"/>
              </w:rPr>
              <w:t>省内外</w:t>
            </w:r>
            <w:r>
              <w:rPr>
                <w:color w:val="000000"/>
                <w:kern w:val="0"/>
                <w:szCs w:val="21"/>
                <w:highlight w:val="none"/>
              </w:rPr>
              <w:t>优质教育资源新建的普通高中学校，经市教育局批准的部分招生计划</w:t>
            </w: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1</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restart"/>
            <w:tcBorders>
              <w:top w:val="nil"/>
              <w:left w:val="nil"/>
              <w:right w:val="single" w:color="auto" w:sz="4" w:space="0"/>
            </w:tcBorders>
            <w:noWrap w:val="0"/>
            <w:vAlign w:val="center"/>
          </w:tcPr>
          <w:p>
            <w:pPr>
              <w:widowControl/>
              <w:jc w:val="center"/>
              <w:rPr>
                <w:color w:val="000000"/>
                <w:kern w:val="0"/>
                <w:szCs w:val="21"/>
                <w:highlight w:val="none"/>
              </w:rPr>
            </w:pPr>
          </w:p>
        </w:tc>
        <w:tc>
          <w:tcPr>
            <w:tcW w:w="854" w:type="dxa"/>
            <w:vMerge w:val="restart"/>
            <w:tcBorders>
              <w:top w:val="nil"/>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2</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3</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4</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5</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pPr>
              <w:widowControl/>
              <w:adjustRightInd w:val="0"/>
              <w:snapToGrid w:val="0"/>
              <w:spacing w:line="240" w:lineRule="atLeast"/>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6</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c>
          <w:tcPr>
            <w:tcW w:w="854" w:type="dxa"/>
            <w:vMerge w:val="continue"/>
            <w:tcBorders>
              <w:left w:val="nil"/>
              <w:bottom w:val="single" w:color="auto" w:sz="4" w:space="0"/>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restart"/>
            <w:tcBorders>
              <w:top w:val="nil"/>
              <w:left w:val="single" w:color="auto" w:sz="4" w:space="0"/>
              <w:right w:val="single" w:color="auto" w:sz="4" w:space="0"/>
            </w:tcBorders>
            <w:noWrap w:val="0"/>
            <w:vAlign w:val="center"/>
          </w:tcPr>
          <w:p>
            <w:pPr>
              <w:widowControl/>
              <w:adjustRightInd w:val="0"/>
              <w:snapToGrid w:val="0"/>
              <w:spacing w:line="240" w:lineRule="atLeast"/>
              <w:jc w:val="center"/>
              <w:rPr>
                <w:color w:val="000000"/>
                <w:kern w:val="0"/>
                <w:szCs w:val="21"/>
                <w:highlight w:val="none"/>
              </w:rPr>
            </w:pPr>
            <w:r>
              <w:rPr>
                <w:color w:val="000000"/>
                <w:kern w:val="0"/>
                <w:szCs w:val="21"/>
                <w:highlight w:val="none"/>
              </w:rPr>
              <w:t>第四批次</w:t>
            </w:r>
          </w:p>
        </w:tc>
        <w:tc>
          <w:tcPr>
            <w:tcW w:w="2550" w:type="dxa"/>
            <w:vMerge w:val="restart"/>
            <w:tcBorders>
              <w:top w:val="nil"/>
              <w:left w:val="nil"/>
              <w:right w:val="single" w:color="auto" w:sz="4" w:space="0"/>
            </w:tcBorders>
            <w:noWrap/>
            <w:vAlign w:val="center"/>
          </w:tcPr>
          <w:p>
            <w:pPr>
              <w:widowControl/>
              <w:adjustRightInd w:val="0"/>
              <w:snapToGrid w:val="0"/>
              <w:spacing w:line="240" w:lineRule="atLeast"/>
              <w:jc w:val="left"/>
              <w:rPr>
                <w:color w:val="000000"/>
                <w:kern w:val="0"/>
                <w:szCs w:val="21"/>
                <w:highlight w:val="none"/>
              </w:rPr>
            </w:pPr>
            <w:r>
              <w:rPr>
                <w:color w:val="000000"/>
                <w:kern w:val="0"/>
                <w:szCs w:val="21"/>
                <w:highlight w:val="none"/>
              </w:rPr>
              <w:t>普通高中其他（剩余）招生计划</w:t>
            </w:r>
            <w:r>
              <w:rPr>
                <w:rFonts w:hint="eastAsia"/>
                <w:color w:val="000000"/>
                <w:kern w:val="0"/>
                <w:szCs w:val="21"/>
                <w:highlight w:val="none"/>
              </w:rPr>
              <w:t>和综合高中招生计划</w:t>
            </w: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1</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restart"/>
            <w:tcBorders>
              <w:top w:val="nil"/>
              <w:left w:val="nil"/>
              <w:right w:val="single" w:color="auto" w:sz="4" w:space="0"/>
            </w:tcBorders>
            <w:noWrap w:val="0"/>
            <w:vAlign w:val="center"/>
          </w:tcPr>
          <w:p>
            <w:pPr>
              <w:widowControl/>
              <w:jc w:val="center"/>
              <w:rPr>
                <w:color w:val="000000"/>
                <w:kern w:val="0"/>
                <w:szCs w:val="21"/>
                <w:highlight w:val="none"/>
              </w:rPr>
            </w:pPr>
          </w:p>
        </w:tc>
        <w:tc>
          <w:tcPr>
            <w:tcW w:w="854" w:type="dxa"/>
            <w:vMerge w:val="restart"/>
            <w:tcBorders>
              <w:top w:val="nil"/>
              <w:left w:val="nil"/>
              <w:right w:val="single" w:color="auto" w:sz="4" w:space="0"/>
            </w:tcBorders>
            <w:noWrap w:val="0"/>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gridAfter w:val="1"/>
          <w:wAfter w:w="8" w:type="dxa"/>
          <w:trHeight w:val="193" w:hRule="atLeast"/>
          <w:jc w:val="center"/>
        </w:trPr>
        <w:tc>
          <w:tcPr>
            <w:tcW w:w="463" w:type="dxa"/>
            <w:vMerge w:val="continue"/>
            <w:tcBorders>
              <w:left w:val="single" w:color="auto" w:sz="4" w:space="0"/>
              <w:right w:val="single" w:color="auto" w:sz="4" w:space="0"/>
            </w:tcBorders>
            <w:noWrap w:val="0"/>
            <w:vAlign w:val="center"/>
          </w:tcPr>
          <w:p>
            <w:pPr>
              <w:widowControl/>
              <w:jc w:val="center"/>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2</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rPr>
                <w:color w:val="000000"/>
                <w:kern w:val="0"/>
                <w:szCs w:val="21"/>
                <w:highlight w:val="none"/>
              </w:rPr>
            </w:pPr>
          </w:p>
        </w:tc>
        <w:tc>
          <w:tcPr>
            <w:tcW w:w="854" w:type="dxa"/>
            <w:vMerge w:val="continue"/>
            <w:tcBorders>
              <w:left w:val="nil"/>
              <w:right w:val="single" w:color="auto" w:sz="4" w:space="0"/>
            </w:tcBorders>
            <w:noWrap w:val="0"/>
            <w:vAlign w:val="top"/>
          </w:tcPr>
          <w:p>
            <w:pPr>
              <w:widowControl/>
              <w:rPr>
                <w:color w:val="000000"/>
                <w:kern w:val="0"/>
                <w:szCs w:val="21"/>
                <w:highlight w:val="none"/>
              </w:rPr>
            </w:pPr>
          </w:p>
        </w:tc>
      </w:tr>
      <w:tr>
        <w:tblPrEx>
          <w:tblCellMar>
            <w:top w:w="0" w:type="dxa"/>
            <w:left w:w="108" w:type="dxa"/>
            <w:bottom w:w="0" w:type="dxa"/>
            <w:right w:w="108" w:type="dxa"/>
          </w:tblCellMar>
        </w:tblPrEx>
        <w:trPr>
          <w:gridAfter w:val="1"/>
          <w:wAfter w:w="8" w:type="dxa"/>
          <w:trHeight w:val="90" w:hRule="atLeast"/>
          <w:jc w:val="center"/>
        </w:trPr>
        <w:tc>
          <w:tcPr>
            <w:tcW w:w="463" w:type="dxa"/>
            <w:vMerge w:val="continue"/>
            <w:tcBorders>
              <w:left w:val="single" w:color="auto" w:sz="4" w:space="0"/>
              <w:right w:val="single" w:color="auto" w:sz="4" w:space="0"/>
            </w:tcBorders>
            <w:noWrap w:val="0"/>
            <w:vAlign w:val="center"/>
          </w:tcPr>
          <w:p>
            <w:pPr>
              <w:widowControl/>
              <w:jc w:val="center"/>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3</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rPr>
                <w:color w:val="000000"/>
                <w:kern w:val="0"/>
                <w:szCs w:val="21"/>
                <w:highlight w:val="none"/>
              </w:rPr>
            </w:pPr>
          </w:p>
        </w:tc>
        <w:tc>
          <w:tcPr>
            <w:tcW w:w="854" w:type="dxa"/>
            <w:vMerge w:val="continue"/>
            <w:tcBorders>
              <w:left w:val="nil"/>
              <w:right w:val="single" w:color="auto" w:sz="4" w:space="0"/>
            </w:tcBorders>
            <w:noWrap w:val="0"/>
            <w:vAlign w:val="top"/>
          </w:tcPr>
          <w:p>
            <w:pPr>
              <w:widowControl/>
              <w:rPr>
                <w:color w:val="000000"/>
                <w:kern w:val="0"/>
                <w:szCs w:val="21"/>
                <w:highlight w:val="none"/>
              </w:rPr>
            </w:pPr>
          </w:p>
        </w:tc>
      </w:tr>
      <w:tr>
        <w:tblPrEx>
          <w:tblCellMar>
            <w:top w:w="0" w:type="dxa"/>
            <w:left w:w="108" w:type="dxa"/>
            <w:bottom w:w="0" w:type="dxa"/>
            <w:right w:w="108" w:type="dxa"/>
          </w:tblCellMar>
        </w:tblPrEx>
        <w:trPr>
          <w:gridAfter w:val="1"/>
          <w:wAfter w:w="8" w:type="dxa"/>
          <w:trHeight w:val="172" w:hRule="atLeast"/>
          <w:jc w:val="center"/>
        </w:trPr>
        <w:tc>
          <w:tcPr>
            <w:tcW w:w="463" w:type="dxa"/>
            <w:vMerge w:val="continue"/>
            <w:tcBorders>
              <w:left w:val="single" w:color="auto" w:sz="4" w:space="0"/>
              <w:right w:val="single" w:color="auto" w:sz="4" w:space="0"/>
            </w:tcBorders>
            <w:noWrap w:val="0"/>
            <w:vAlign w:val="center"/>
          </w:tcPr>
          <w:p>
            <w:pPr>
              <w:widowControl/>
              <w:jc w:val="center"/>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4</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rPr>
                <w:color w:val="000000"/>
                <w:kern w:val="0"/>
                <w:szCs w:val="21"/>
                <w:highlight w:val="none"/>
              </w:rPr>
            </w:pPr>
          </w:p>
        </w:tc>
        <w:tc>
          <w:tcPr>
            <w:tcW w:w="854" w:type="dxa"/>
            <w:vMerge w:val="continue"/>
            <w:tcBorders>
              <w:left w:val="nil"/>
              <w:right w:val="single" w:color="auto" w:sz="4" w:space="0"/>
            </w:tcBorders>
            <w:noWrap w:val="0"/>
            <w:vAlign w:val="top"/>
          </w:tcPr>
          <w:p>
            <w:pPr>
              <w:widowControl/>
              <w:rPr>
                <w:color w:val="000000"/>
                <w:kern w:val="0"/>
                <w:szCs w:val="21"/>
                <w:highlight w:val="none"/>
              </w:rPr>
            </w:pPr>
          </w:p>
        </w:tc>
      </w:tr>
      <w:tr>
        <w:tblPrEx>
          <w:tblCellMar>
            <w:top w:w="0" w:type="dxa"/>
            <w:left w:w="108" w:type="dxa"/>
            <w:bottom w:w="0" w:type="dxa"/>
            <w:right w:w="108" w:type="dxa"/>
          </w:tblCellMar>
        </w:tblPrEx>
        <w:trPr>
          <w:gridAfter w:val="1"/>
          <w:wAfter w:w="8" w:type="dxa"/>
          <w:trHeight w:val="127" w:hRule="atLeast"/>
          <w:jc w:val="center"/>
        </w:trPr>
        <w:tc>
          <w:tcPr>
            <w:tcW w:w="463" w:type="dxa"/>
            <w:vMerge w:val="continue"/>
            <w:tcBorders>
              <w:left w:val="single" w:color="auto" w:sz="4" w:space="0"/>
              <w:right w:val="single" w:color="auto" w:sz="4" w:space="0"/>
            </w:tcBorders>
            <w:noWrap w:val="0"/>
            <w:vAlign w:val="center"/>
          </w:tcPr>
          <w:p>
            <w:pPr>
              <w:widowControl/>
              <w:jc w:val="center"/>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5</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right w:val="single" w:color="auto" w:sz="4" w:space="0"/>
            </w:tcBorders>
            <w:noWrap w:val="0"/>
            <w:vAlign w:val="center"/>
          </w:tcPr>
          <w:p>
            <w:pPr>
              <w:widowControl/>
              <w:rPr>
                <w:color w:val="000000"/>
                <w:kern w:val="0"/>
                <w:szCs w:val="21"/>
                <w:highlight w:val="none"/>
              </w:rPr>
            </w:pPr>
          </w:p>
        </w:tc>
        <w:tc>
          <w:tcPr>
            <w:tcW w:w="854" w:type="dxa"/>
            <w:vMerge w:val="continue"/>
            <w:tcBorders>
              <w:left w:val="nil"/>
              <w:right w:val="single" w:color="auto" w:sz="4" w:space="0"/>
            </w:tcBorders>
            <w:noWrap w:val="0"/>
            <w:vAlign w:val="top"/>
          </w:tcPr>
          <w:p>
            <w:pPr>
              <w:widowControl/>
              <w:rPr>
                <w:color w:val="000000"/>
                <w:kern w:val="0"/>
                <w:szCs w:val="21"/>
                <w:highlight w:val="none"/>
              </w:rPr>
            </w:pPr>
          </w:p>
        </w:tc>
      </w:tr>
      <w:tr>
        <w:tblPrEx>
          <w:tblCellMar>
            <w:top w:w="0" w:type="dxa"/>
            <w:left w:w="108" w:type="dxa"/>
            <w:bottom w:w="0" w:type="dxa"/>
            <w:right w:w="108" w:type="dxa"/>
          </w:tblCellMar>
        </w:tblPrEx>
        <w:trPr>
          <w:gridAfter w:val="1"/>
          <w:wAfter w:w="8" w:type="dxa"/>
          <w:trHeight w:val="90" w:hRule="atLeast"/>
          <w:jc w:val="center"/>
        </w:trPr>
        <w:tc>
          <w:tcPr>
            <w:tcW w:w="463" w:type="dxa"/>
            <w:vMerge w:val="continue"/>
            <w:tcBorders>
              <w:left w:val="single" w:color="auto" w:sz="4" w:space="0"/>
              <w:bottom w:val="single" w:color="auto" w:sz="4" w:space="0"/>
              <w:right w:val="single" w:color="auto" w:sz="4" w:space="0"/>
            </w:tcBorders>
            <w:noWrap w:val="0"/>
            <w:vAlign w:val="center"/>
          </w:tcPr>
          <w:p>
            <w:pPr>
              <w:widowControl/>
              <w:jc w:val="center"/>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6</w:t>
            </w:r>
          </w:p>
        </w:tc>
        <w:tc>
          <w:tcPr>
            <w:tcW w:w="2483" w:type="dxa"/>
            <w:tcBorders>
              <w:top w:val="nil"/>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1911" w:type="dxa"/>
            <w:gridSpan w:val="3"/>
            <w:vMerge w:val="continue"/>
            <w:tcBorders>
              <w:left w:val="nil"/>
              <w:bottom w:val="single" w:color="auto" w:sz="4" w:space="0"/>
              <w:right w:val="single" w:color="auto" w:sz="4" w:space="0"/>
            </w:tcBorders>
            <w:noWrap w:val="0"/>
            <w:vAlign w:val="center"/>
          </w:tcPr>
          <w:p>
            <w:pPr>
              <w:widowControl/>
              <w:rPr>
                <w:color w:val="000000"/>
                <w:kern w:val="0"/>
                <w:szCs w:val="21"/>
                <w:highlight w:val="none"/>
              </w:rPr>
            </w:pPr>
          </w:p>
        </w:tc>
        <w:tc>
          <w:tcPr>
            <w:tcW w:w="854" w:type="dxa"/>
            <w:vMerge w:val="continue"/>
            <w:tcBorders>
              <w:left w:val="nil"/>
              <w:bottom w:val="single" w:color="auto" w:sz="4" w:space="0"/>
              <w:right w:val="single" w:color="auto" w:sz="4" w:space="0"/>
            </w:tcBorders>
            <w:noWrap w:val="0"/>
            <w:vAlign w:val="top"/>
          </w:tcPr>
          <w:p>
            <w:pPr>
              <w:widowControl/>
              <w:rPr>
                <w:color w:val="000000"/>
                <w:kern w:val="0"/>
                <w:szCs w:val="21"/>
                <w:highlight w:val="none"/>
              </w:rPr>
            </w:pPr>
          </w:p>
        </w:tc>
      </w:tr>
      <w:tr>
        <w:tblPrEx>
          <w:tblCellMar>
            <w:top w:w="0" w:type="dxa"/>
            <w:left w:w="108" w:type="dxa"/>
            <w:bottom w:w="0" w:type="dxa"/>
            <w:right w:w="108" w:type="dxa"/>
          </w:tblCellMar>
        </w:tblPrEx>
        <w:trPr>
          <w:trHeight w:val="295" w:hRule="atLeast"/>
          <w:jc w:val="center"/>
        </w:trPr>
        <w:tc>
          <w:tcPr>
            <w:tcW w:w="463" w:type="dxa"/>
            <w:vMerge w:val="restart"/>
            <w:tcBorders>
              <w:left w:val="single" w:color="auto" w:sz="4" w:space="0"/>
              <w:right w:val="single" w:color="auto" w:sz="4" w:space="0"/>
            </w:tcBorders>
            <w:noWrap w:val="0"/>
            <w:vAlign w:val="center"/>
          </w:tcPr>
          <w:p>
            <w:pPr>
              <w:widowControl/>
              <w:jc w:val="center"/>
              <w:rPr>
                <w:color w:val="000000"/>
                <w:kern w:val="0"/>
                <w:szCs w:val="21"/>
                <w:highlight w:val="none"/>
              </w:rPr>
            </w:pPr>
            <w:r>
              <w:rPr>
                <w:color w:val="000000"/>
                <w:kern w:val="0"/>
                <w:szCs w:val="21"/>
                <w:highlight w:val="none"/>
              </w:rPr>
              <w:t>第四批次</w:t>
            </w:r>
          </w:p>
        </w:tc>
        <w:tc>
          <w:tcPr>
            <w:tcW w:w="2550" w:type="dxa"/>
            <w:vMerge w:val="restart"/>
            <w:tcBorders>
              <w:top w:val="single" w:color="auto" w:sz="4" w:space="0"/>
              <w:left w:val="nil"/>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中等职业学校其他</w:t>
            </w:r>
          </w:p>
          <w:p>
            <w:pPr>
              <w:widowControl/>
              <w:jc w:val="center"/>
              <w:rPr>
                <w:color w:val="000000"/>
                <w:kern w:val="0"/>
                <w:szCs w:val="21"/>
                <w:highlight w:val="none"/>
              </w:rPr>
            </w:pPr>
            <w:r>
              <w:rPr>
                <w:color w:val="000000"/>
                <w:kern w:val="0"/>
                <w:szCs w:val="21"/>
                <w:highlight w:val="none"/>
              </w:rPr>
              <w:t>（剩余）招生计划</w:t>
            </w:r>
          </w:p>
        </w:tc>
        <w:tc>
          <w:tcPr>
            <w:tcW w:w="772" w:type="dxa"/>
            <w:vMerge w:val="restart"/>
            <w:tcBorders>
              <w:top w:val="single" w:color="auto" w:sz="4" w:space="0"/>
              <w:left w:val="nil"/>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1</w:t>
            </w:r>
          </w:p>
        </w:tc>
        <w:tc>
          <w:tcPr>
            <w:tcW w:w="2483" w:type="dxa"/>
            <w:vMerge w:val="restart"/>
            <w:tcBorders>
              <w:top w:val="single" w:color="auto" w:sz="4" w:space="0"/>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highlight w:val="none"/>
              </w:rPr>
            </w:pPr>
            <w:r>
              <w:rPr>
                <w:rFonts w:ascii="宋体" w:hAnsi="宋体"/>
                <w:color w:val="000000"/>
                <w:kern w:val="0"/>
                <w:szCs w:val="21"/>
                <w:highlight w:val="none"/>
              </w:rPr>
              <w:t>1</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Cs w:val="21"/>
                <w:highlight w:val="none"/>
              </w:rPr>
            </w:pPr>
          </w:p>
        </w:tc>
        <w:tc>
          <w:tcPr>
            <w:tcW w:w="862" w:type="dxa"/>
            <w:gridSpan w:val="2"/>
            <w:vMerge w:val="restart"/>
            <w:tcBorders>
              <w:top w:val="single" w:color="auto" w:sz="4" w:space="0"/>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 w:val="18"/>
                <w:szCs w:val="18"/>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112"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70"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70"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70"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2</w:t>
            </w:r>
          </w:p>
        </w:tc>
        <w:tc>
          <w:tcPr>
            <w:tcW w:w="2483" w:type="dxa"/>
            <w:vMerge w:val="restart"/>
            <w:tcBorders>
              <w:top w:val="single" w:color="auto" w:sz="4" w:space="0"/>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restart"/>
            <w:tcBorders>
              <w:top w:val="single" w:color="auto" w:sz="4" w:space="0"/>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3</w:t>
            </w:r>
          </w:p>
        </w:tc>
        <w:tc>
          <w:tcPr>
            <w:tcW w:w="2483" w:type="dxa"/>
            <w:vMerge w:val="restart"/>
            <w:tcBorders>
              <w:top w:val="single" w:color="auto" w:sz="4" w:space="0"/>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restart"/>
            <w:tcBorders>
              <w:top w:val="single" w:color="auto" w:sz="4" w:space="0"/>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4</w:t>
            </w:r>
          </w:p>
        </w:tc>
        <w:tc>
          <w:tcPr>
            <w:tcW w:w="2483" w:type="dxa"/>
            <w:vMerge w:val="restart"/>
            <w:tcBorders>
              <w:top w:val="single" w:color="auto" w:sz="4" w:space="0"/>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restart"/>
            <w:tcBorders>
              <w:top w:val="single" w:color="auto" w:sz="4" w:space="0"/>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5</w:t>
            </w:r>
          </w:p>
        </w:tc>
        <w:tc>
          <w:tcPr>
            <w:tcW w:w="2483" w:type="dxa"/>
            <w:vMerge w:val="restart"/>
            <w:tcBorders>
              <w:top w:val="single" w:color="auto" w:sz="4" w:space="0"/>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restart"/>
            <w:tcBorders>
              <w:top w:val="single" w:color="auto" w:sz="4" w:space="0"/>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
          <w:p>
            <w:pPr>
              <w:widowControl/>
              <w:jc w:val="center"/>
              <w:rPr>
                <w:color w:val="000000"/>
                <w:kern w:val="0"/>
                <w:szCs w:val="21"/>
                <w:highlight w:val="none"/>
              </w:rPr>
            </w:pPr>
            <w:r>
              <w:rPr>
                <w:color w:val="000000"/>
                <w:kern w:val="0"/>
                <w:szCs w:val="21"/>
                <w:highlight w:val="none"/>
              </w:rPr>
              <w:t>6</w:t>
            </w:r>
          </w:p>
        </w:tc>
        <w:tc>
          <w:tcPr>
            <w:tcW w:w="2483" w:type="dxa"/>
            <w:vMerge w:val="restart"/>
            <w:tcBorders>
              <w:top w:val="single" w:color="auto" w:sz="4" w:space="0"/>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restart"/>
            <w:tcBorders>
              <w:top w:val="single" w:color="auto" w:sz="4" w:space="0"/>
              <w:left w:val="nil"/>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□是</w:t>
            </w:r>
          </w:p>
          <w:p>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 w:val="18"/>
                <w:szCs w:val="18"/>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 w:val="18"/>
                <w:szCs w:val="18"/>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 w:val="18"/>
                <w:szCs w:val="18"/>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right w:val="single" w:color="auto" w:sz="4" w:space="0"/>
            </w:tcBorders>
            <w:noWrap w:val="0"/>
            <w:vAlign w:val="center"/>
          </w:tcPr>
          <w:p>
            <w:pPr>
              <w:widowControl/>
              <w:jc w:val="center"/>
              <w:rPr>
                <w:rFonts w:ascii="宋体" w:hAnsi="宋体"/>
                <w:color w:val="000000"/>
                <w:kern w:val="0"/>
                <w:sz w:val="18"/>
                <w:szCs w:val="18"/>
                <w:highlight w:val="none"/>
              </w:rPr>
            </w:pPr>
          </w:p>
        </w:tc>
      </w:tr>
      <w:tr>
        <w:tblPrEx>
          <w:tblCellMar>
            <w:top w:w="0" w:type="dxa"/>
            <w:left w:w="108" w:type="dxa"/>
            <w:bottom w:w="0" w:type="dxa"/>
            <w:right w:w="108" w:type="dxa"/>
          </w:tblCellMar>
        </w:tblPrEx>
        <w:trPr>
          <w:trHeight w:val="136" w:hRule="atLeast"/>
          <w:jc w:val="center"/>
        </w:trPr>
        <w:tc>
          <w:tcPr>
            <w:tcW w:w="463" w:type="dxa"/>
            <w:vMerge w:val="continue"/>
            <w:tcBorders>
              <w:left w:val="single" w:color="auto" w:sz="4" w:space="0"/>
              <w:bottom w:val="single" w:color="auto" w:sz="4" w:space="0"/>
              <w:right w:val="single" w:color="auto" w:sz="4" w:space="0"/>
            </w:tcBorders>
            <w:noWrap w:val="0"/>
            <w:vAlign w:val="center"/>
          </w:tcPr>
          <w:p>
            <w:pPr>
              <w:widowControl/>
              <w:jc w:val="left"/>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
          <w:p>
            <w:pPr>
              <w:widowControl/>
              <w:jc w:val="center"/>
              <w:rPr>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
          <w:p>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18"/>
                <w:szCs w:val="18"/>
                <w:highlight w:val="none"/>
              </w:rPr>
            </w:pPr>
          </w:p>
        </w:tc>
        <w:tc>
          <w:tcPr>
            <w:tcW w:w="862"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highlight w:val="none"/>
              </w:rPr>
            </w:pPr>
          </w:p>
        </w:tc>
      </w:tr>
      <w:tr>
        <w:tblPrEx>
          <w:tblCellMar>
            <w:top w:w="0" w:type="dxa"/>
            <w:left w:w="108" w:type="dxa"/>
            <w:bottom w:w="0" w:type="dxa"/>
            <w:right w:w="108" w:type="dxa"/>
          </w:tblCellMar>
        </w:tblPrEx>
        <w:trPr>
          <w:trHeight w:val="901"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Cs w:val="21"/>
                <w:highlight w:val="none"/>
              </w:rPr>
            </w:pPr>
            <w:r>
              <w:rPr>
                <w:color w:val="000000"/>
                <w:kern w:val="0"/>
                <w:szCs w:val="21"/>
                <w:highlight w:val="none"/>
              </w:rPr>
              <w:t>补录</w:t>
            </w:r>
          </w:p>
        </w:tc>
        <w:tc>
          <w:tcPr>
            <w:tcW w:w="8578" w:type="dxa"/>
            <w:gridSpan w:val="8"/>
            <w:tcBorders>
              <w:top w:val="single" w:color="auto" w:sz="4" w:space="0"/>
              <w:left w:val="nil"/>
              <w:bottom w:val="single" w:color="auto" w:sz="4" w:space="0"/>
              <w:right w:val="single" w:color="auto" w:sz="4" w:space="0"/>
            </w:tcBorders>
            <w:noWrap/>
            <w:vAlign w:val="center"/>
          </w:tcPr>
          <w:p>
            <w:pPr>
              <w:jc w:val="left"/>
              <w:rPr>
                <w:color w:val="000000"/>
                <w:kern w:val="0"/>
                <w:szCs w:val="21"/>
                <w:highlight w:val="none"/>
              </w:rPr>
            </w:pPr>
            <w:r>
              <w:rPr>
                <w:color w:val="000000"/>
                <w:kern w:val="0"/>
                <w:szCs w:val="21"/>
                <w:highlight w:val="none"/>
              </w:rPr>
              <w:t>普通高中和</w:t>
            </w:r>
            <w:r>
              <w:rPr>
                <w:rFonts w:hint="eastAsia"/>
                <w:color w:val="000000"/>
                <w:kern w:val="0"/>
                <w:szCs w:val="21"/>
                <w:highlight w:val="none"/>
              </w:rPr>
              <w:t>综合高中、</w:t>
            </w:r>
            <w:r>
              <w:rPr>
                <w:color w:val="000000"/>
                <w:kern w:val="0"/>
                <w:szCs w:val="21"/>
                <w:highlight w:val="none"/>
              </w:rPr>
              <w:t>中职三二分段及省级以上重点特色专业学校因未录满招生计划或因学生未按规定时间到校注册而空余的计划，统一安排补录。</w:t>
            </w:r>
          </w:p>
        </w:tc>
      </w:tr>
    </w:tbl>
    <w:p>
      <w:pPr>
        <w:widowControl/>
        <w:tabs>
          <w:tab w:val="left" w:pos="4140"/>
        </w:tabs>
        <w:adjustRightInd w:val="0"/>
        <w:snapToGrid w:val="0"/>
        <w:spacing w:line="540" w:lineRule="exact"/>
        <w:ind w:right="365" w:rightChars="174"/>
        <w:jc w:val="left"/>
        <w:rPr>
          <w:rFonts w:eastAsia="黑体"/>
          <w:bCs/>
          <w:kern w:val="0"/>
          <w:sz w:val="32"/>
          <w:szCs w:val="32"/>
          <w:highlight w:val="none"/>
        </w:rPr>
      </w:pPr>
      <w:r>
        <w:rPr>
          <w:rFonts w:eastAsia="楷体_GB2312"/>
          <w:color w:val="000000"/>
          <w:kern w:val="0"/>
          <w:sz w:val="24"/>
          <w:highlight w:val="none"/>
        </w:rPr>
        <w:br w:type="page"/>
      </w:r>
      <w:r>
        <w:rPr>
          <w:rFonts w:eastAsia="黑体"/>
          <w:bCs/>
          <w:kern w:val="0"/>
          <w:sz w:val="32"/>
          <w:szCs w:val="32"/>
          <w:highlight w:val="none"/>
        </w:rPr>
        <w:t>附件2</w:t>
      </w:r>
    </w:p>
    <w:p>
      <w:pPr>
        <w:spacing w:line="560" w:lineRule="exact"/>
        <w:jc w:val="left"/>
        <w:rPr>
          <w:rFonts w:eastAsia="方正小标宋_GBK"/>
          <w:snapToGrid w:val="0"/>
          <w:kern w:val="0"/>
          <w:sz w:val="44"/>
          <w:szCs w:val="44"/>
          <w:highlight w:val="none"/>
        </w:rPr>
      </w:pPr>
    </w:p>
    <w:p>
      <w:pPr>
        <w:adjustRightInd w:val="0"/>
        <w:snapToGrid w:val="0"/>
        <w:spacing w:line="560" w:lineRule="exact"/>
        <w:jc w:val="center"/>
        <w:rPr>
          <w:rFonts w:hint="eastAsia" w:eastAsia="方正小标宋_GBK"/>
          <w:snapToGrid w:val="0"/>
          <w:color w:val="000000"/>
          <w:kern w:val="0"/>
          <w:sz w:val="44"/>
          <w:szCs w:val="44"/>
          <w:highlight w:val="none"/>
        </w:rPr>
      </w:pPr>
      <w:r>
        <w:rPr>
          <w:rFonts w:eastAsia="方正小标宋_GBK"/>
          <w:snapToGrid w:val="0"/>
          <w:color w:val="000000"/>
          <w:kern w:val="0"/>
          <w:sz w:val="44"/>
          <w:szCs w:val="44"/>
          <w:highlight w:val="none"/>
        </w:rPr>
        <w:t>广州市高中阶段学校考试招生负面清单</w:t>
      </w:r>
    </w:p>
    <w:p>
      <w:pPr>
        <w:adjustRightInd w:val="0"/>
        <w:snapToGrid w:val="0"/>
        <w:spacing w:line="560" w:lineRule="exact"/>
        <w:jc w:val="center"/>
        <w:rPr>
          <w:rFonts w:eastAsia="方正小标宋_GBK"/>
          <w:snapToGrid w:val="0"/>
          <w:color w:val="000000"/>
          <w:kern w:val="0"/>
          <w:sz w:val="44"/>
          <w:szCs w:val="44"/>
          <w:highlight w:val="none"/>
        </w:rPr>
      </w:pP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tcBorders>
              <w:top w:val="single" w:color="000000" w:sz="2" w:space="0"/>
              <w:bottom w:val="single" w:color="000000" w:sz="2" w:space="0"/>
            </w:tcBorders>
            <w:noWrap w:val="0"/>
            <w:vAlign w:val="center"/>
          </w:tcPr>
          <w:p>
            <w:pPr>
              <w:adjustRightInd w:val="0"/>
              <w:snapToGrid w:val="0"/>
              <w:spacing w:line="400" w:lineRule="exact"/>
              <w:jc w:val="center"/>
              <w:rPr>
                <w:rFonts w:eastAsia="黑体"/>
                <w:snapToGrid w:val="0"/>
                <w:color w:val="000000"/>
                <w:kern w:val="0"/>
                <w:sz w:val="24"/>
                <w:highlight w:val="none"/>
              </w:rPr>
            </w:pPr>
            <w:r>
              <w:rPr>
                <w:rFonts w:eastAsia="黑体"/>
                <w:snapToGrid w:val="0"/>
                <w:color w:val="000000"/>
                <w:kern w:val="0"/>
                <w:sz w:val="24"/>
                <w:highlight w:val="none"/>
              </w:rPr>
              <w:t>序号</w:t>
            </w:r>
          </w:p>
        </w:tc>
        <w:tc>
          <w:tcPr>
            <w:tcW w:w="7938" w:type="dxa"/>
            <w:tcBorders>
              <w:top w:val="single" w:color="000000" w:sz="2" w:space="0"/>
              <w:bottom w:val="single" w:color="000000" w:sz="2" w:space="0"/>
            </w:tcBorders>
            <w:noWrap w:val="0"/>
            <w:vAlign w:val="center"/>
          </w:tcPr>
          <w:p>
            <w:pPr>
              <w:adjustRightInd w:val="0"/>
              <w:snapToGrid w:val="0"/>
              <w:spacing w:line="400" w:lineRule="exact"/>
              <w:ind w:firstLine="3360" w:firstLineChars="1400"/>
              <w:rPr>
                <w:rFonts w:eastAsia="黑体"/>
                <w:snapToGrid w:val="0"/>
                <w:color w:val="000000"/>
                <w:kern w:val="0"/>
                <w:sz w:val="24"/>
                <w:highlight w:val="none"/>
              </w:rPr>
            </w:pPr>
            <w:r>
              <w:rPr>
                <w:rFonts w:eastAsia="黑体"/>
                <w:snapToGrid w:val="0"/>
                <w:color w:val="000000"/>
                <w:kern w:val="0"/>
                <w:sz w:val="24"/>
                <w:highlight w:val="none"/>
              </w:rPr>
              <w:t>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1</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以任何形式提前组织招生、免试招生、超计划招生、违规跨区域招生，包括以基金会、校友会等名义组织非本校学生到校参加夏令营、冬令营、研学班等活动，违规签订“包捞”招生入学协议，未获得办学许可和未下达招生计划的学校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2</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学校间混合招生、招生后违规办理转学（包括多校区之间、集团校之间混合招生，招生后违规办理转学），中外合作办学项目招收的学生转入普通班级。不通过市统一中考平台招生、补录，自行组织招生考试。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3</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公办学校参与举办的民办学校以公办学校名义招揽生源。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4</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利用中介机构非法招生、与社会培训机构联合组织以选拔生源为目的的各类考试，或采用社会培训机构组织的考试结果作为招生依据。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5</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以高额物质奖励、免收学费、虚假宣传等方式争抢生源，包括民办学校收费与中考成绩挂钩。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6</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招收已被中等职业学校录取的学生。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7</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招收借读生</w:t>
            </w:r>
            <w:r>
              <w:rPr>
                <w:rFonts w:hint="eastAsia"/>
                <w:snapToGrid w:val="0"/>
                <w:color w:val="000000"/>
                <w:kern w:val="0"/>
                <w:szCs w:val="21"/>
                <w:highlight w:val="none"/>
              </w:rPr>
              <w:t>、</w:t>
            </w:r>
            <w:r>
              <w:rPr>
                <w:snapToGrid w:val="0"/>
                <w:color w:val="000000"/>
                <w:kern w:val="0"/>
                <w:szCs w:val="21"/>
                <w:highlight w:val="none"/>
              </w:rPr>
              <w:t>人籍分离、空挂学籍。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8</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收取择校费、与招生入学挂钩的赞助费以及跨学期收取学费。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9</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公布、宣传、炒作中考</w:t>
            </w:r>
            <w:r>
              <w:rPr>
                <w:rFonts w:hint="eastAsia"/>
                <w:snapToGrid w:val="0"/>
                <w:color w:val="000000"/>
                <w:kern w:val="0"/>
                <w:szCs w:val="21"/>
                <w:highlight w:val="none"/>
              </w:rPr>
              <w:t>“</w:t>
            </w:r>
            <w:r>
              <w:rPr>
                <w:snapToGrid w:val="0"/>
                <w:color w:val="000000"/>
                <w:kern w:val="0"/>
                <w:szCs w:val="21"/>
                <w:highlight w:val="none"/>
              </w:rPr>
              <w:t>状元</w:t>
            </w:r>
            <w:r>
              <w:rPr>
                <w:rFonts w:hint="eastAsia"/>
                <w:snapToGrid w:val="0"/>
                <w:color w:val="000000"/>
                <w:kern w:val="0"/>
                <w:szCs w:val="21"/>
                <w:highlight w:val="none"/>
              </w:rPr>
              <w:t>”</w:t>
            </w:r>
            <w:r>
              <w:rPr>
                <w:snapToGrid w:val="0"/>
                <w:color w:val="000000"/>
                <w:kern w:val="0"/>
                <w:szCs w:val="21"/>
                <w:highlight w:val="none"/>
              </w:rPr>
              <w:t>和升学率，包括以家委会等名义公布升学率。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7" w:type="dxa"/>
            <w:tcBorders>
              <w:top w:val="single" w:color="000000" w:sz="2" w:space="0"/>
              <w:bottom w:val="single" w:color="000000" w:sz="2" w:space="0"/>
            </w:tcBorders>
            <w:noWrap w:val="0"/>
            <w:vAlign w:val="center"/>
          </w:tcPr>
          <w:p>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10</w:t>
            </w:r>
          </w:p>
        </w:tc>
        <w:tc>
          <w:tcPr>
            <w:tcW w:w="7938" w:type="dxa"/>
            <w:tcBorders>
              <w:top w:val="single" w:color="000000" w:sz="2" w:space="0"/>
              <w:bottom w:val="single" w:color="000000" w:sz="2" w:space="0"/>
            </w:tcBorders>
            <w:noWrap w:val="0"/>
            <w:vAlign w:val="center"/>
          </w:tcPr>
          <w:p>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强制学生填报升学志愿。</w:t>
            </w:r>
          </w:p>
        </w:tc>
      </w:tr>
    </w:tbl>
    <w:p>
      <w:pPr>
        <w:widowControl/>
        <w:adjustRightInd w:val="0"/>
        <w:snapToGrid w:val="0"/>
        <w:spacing w:line="360" w:lineRule="exact"/>
        <w:ind w:firstLine="638" w:firstLineChars="304"/>
        <w:rPr>
          <w:rFonts w:hint="eastAsia"/>
          <w:snapToGrid w:val="0"/>
          <w:kern w:val="0"/>
          <w:sz w:val="24"/>
          <w:highlight w:val="none"/>
        </w:rPr>
      </w:pPr>
      <w:r>
        <w:rPr>
          <w:snapToGrid w:val="0"/>
          <w:color w:val="000000"/>
          <w:kern w:val="0"/>
          <w:szCs w:val="22"/>
          <w:highlight w:val="none"/>
        </w:rPr>
        <w:t>备注：各区、各学校要深化违规招生治理，对出现负面清单中扰乱招生入学秩序的行为，视情节严重程度给予约谈、责令限期改正、按干部管理权限对校长和相关责任人追究处理等。民办学校还要给予削减招生计划、停止招生直至取消办学资质等处理</w:t>
      </w:r>
      <w:r>
        <w:rPr>
          <w:rFonts w:hint="eastAsia"/>
          <w:snapToGrid w:val="0"/>
          <w:color w:val="000000"/>
          <w:kern w:val="0"/>
          <w:szCs w:val="22"/>
          <w:highlight w:val="none"/>
        </w:rPr>
        <w:t>。</w:t>
      </w:r>
    </w:p>
    <w:p>
      <w:pPr>
        <w:widowControl/>
        <w:jc w:val="left"/>
        <w:rPr>
          <w:rFonts w:hint="eastAsia"/>
          <w:kern w:val="0"/>
          <w:sz w:val="20"/>
          <w:highlight w:val="none"/>
        </w:rPr>
      </w:pPr>
    </w:p>
    <w:p>
      <w:pPr>
        <w:widowControl/>
        <w:jc w:val="left"/>
        <w:rPr>
          <w:rFonts w:hint="eastAsia"/>
          <w:kern w:val="0"/>
          <w:sz w:val="2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45F50"/>
    <w:rsid w:val="00106A40"/>
    <w:rsid w:val="00540E47"/>
    <w:rsid w:val="00A136D6"/>
    <w:rsid w:val="00AB4A8D"/>
    <w:rsid w:val="00C4058D"/>
    <w:rsid w:val="011D1286"/>
    <w:rsid w:val="013A18B5"/>
    <w:rsid w:val="01970EC1"/>
    <w:rsid w:val="01B2595E"/>
    <w:rsid w:val="01CB0334"/>
    <w:rsid w:val="021D6436"/>
    <w:rsid w:val="022F2F4E"/>
    <w:rsid w:val="023F7F58"/>
    <w:rsid w:val="026E34AA"/>
    <w:rsid w:val="029862BA"/>
    <w:rsid w:val="02D676FD"/>
    <w:rsid w:val="030851FE"/>
    <w:rsid w:val="03113764"/>
    <w:rsid w:val="03160DC4"/>
    <w:rsid w:val="03EF698E"/>
    <w:rsid w:val="043934C4"/>
    <w:rsid w:val="044C46DF"/>
    <w:rsid w:val="0469199F"/>
    <w:rsid w:val="04A47ACA"/>
    <w:rsid w:val="04B91B83"/>
    <w:rsid w:val="04EB5DF9"/>
    <w:rsid w:val="051955C3"/>
    <w:rsid w:val="05257D3A"/>
    <w:rsid w:val="056904AC"/>
    <w:rsid w:val="0569581A"/>
    <w:rsid w:val="05715E84"/>
    <w:rsid w:val="058B5A73"/>
    <w:rsid w:val="05D34021"/>
    <w:rsid w:val="05F262F1"/>
    <w:rsid w:val="060C1214"/>
    <w:rsid w:val="060D09B6"/>
    <w:rsid w:val="061E3D09"/>
    <w:rsid w:val="062D46A6"/>
    <w:rsid w:val="06377937"/>
    <w:rsid w:val="068D1AC6"/>
    <w:rsid w:val="06966402"/>
    <w:rsid w:val="07474F1B"/>
    <w:rsid w:val="07834170"/>
    <w:rsid w:val="07D07B3F"/>
    <w:rsid w:val="08180268"/>
    <w:rsid w:val="081B061F"/>
    <w:rsid w:val="08444BA8"/>
    <w:rsid w:val="08D97FC3"/>
    <w:rsid w:val="09575B57"/>
    <w:rsid w:val="09743DD4"/>
    <w:rsid w:val="098553D8"/>
    <w:rsid w:val="099254C7"/>
    <w:rsid w:val="09A80B3D"/>
    <w:rsid w:val="09F45404"/>
    <w:rsid w:val="09FA1B80"/>
    <w:rsid w:val="0A0F020D"/>
    <w:rsid w:val="0A72365E"/>
    <w:rsid w:val="0AC407F4"/>
    <w:rsid w:val="0ACE33BC"/>
    <w:rsid w:val="0AD00145"/>
    <w:rsid w:val="0AE4699F"/>
    <w:rsid w:val="0B137D64"/>
    <w:rsid w:val="0B18581C"/>
    <w:rsid w:val="0B1F2691"/>
    <w:rsid w:val="0B3E6B33"/>
    <w:rsid w:val="0B516784"/>
    <w:rsid w:val="0BBE3A14"/>
    <w:rsid w:val="0BCD317A"/>
    <w:rsid w:val="0BD254D1"/>
    <w:rsid w:val="0C105DCD"/>
    <w:rsid w:val="0C150485"/>
    <w:rsid w:val="0C4A4B9D"/>
    <w:rsid w:val="0C5D104C"/>
    <w:rsid w:val="0CDB7298"/>
    <w:rsid w:val="0CE068C0"/>
    <w:rsid w:val="0CFD0FE1"/>
    <w:rsid w:val="0D33078B"/>
    <w:rsid w:val="0D462BB9"/>
    <w:rsid w:val="0D5B42D4"/>
    <w:rsid w:val="0D720A4E"/>
    <w:rsid w:val="0DA024D9"/>
    <w:rsid w:val="0DB16162"/>
    <w:rsid w:val="0DCB0223"/>
    <w:rsid w:val="0DD77D52"/>
    <w:rsid w:val="0DDC6937"/>
    <w:rsid w:val="0E281C9F"/>
    <w:rsid w:val="0E405B63"/>
    <w:rsid w:val="0E4215E6"/>
    <w:rsid w:val="0E57715D"/>
    <w:rsid w:val="0E9E79EF"/>
    <w:rsid w:val="0EA93C3B"/>
    <w:rsid w:val="0EAF2E45"/>
    <w:rsid w:val="0EC87144"/>
    <w:rsid w:val="0ED17492"/>
    <w:rsid w:val="0EEC353B"/>
    <w:rsid w:val="0EF562B8"/>
    <w:rsid w:val="0F2B3391"/>
    <w:rsid w:val="0F570A47"/>
    <w:rsid w:val="0F5B07A3"/>
    <w:rsid w:val="0F600746"/>
    <w:rsid w:val="0F8E45B2"/>
    <w:rsid w:val="0F93130D"/>
    <w:rsid w:val="0FCB69C9"/>
    <w:rsid w:val="0FF45F50"/>
    <w:rsid w:val="10237B09"/>
    <w:rsid w:val="10324BA1"/>
    <w:rsid w:val="104C2531"/>
    <w:rsid w:val="10A04528"/>
    <w:rsid w:val="10BC0C23"/>
    <w:rsid w:val="10C47042"/>
    <w:rsid w:val="10F40E5A"/>
    <w:rsid w:val="11322C0A"/>
    <w:rsid w:val="116439E3"/>
    <w:rsid w:val="117B7F6F"/>
    <w:rsid w:val="11816F61"/>
    <w:rsid w:val="119B320E"/>
    <w:rsid w:val="11BC27DE"/>
    <w:rsid w:val="11D06E91"/>
    <w:rsid w:val="11D07962"/>
    <w:rsid w:val="12416C15"/>
    <w:rsid w:val="12B54BDE"/>
    <w:rsid w:val="12D72EEE"/>
    <w:rsid w:val="12F8126A"/>
    <w:rsid w:val="131546BD"/>
    <w:rsid w:val="133C3ABA"/>
    <w:rsid w:val="13486B8E"/>
    <w:rsid w:val="135477F8"/>
    <w:rsid w:val="137B42B5"/>
    <w:rsid w:val="13BB72AE"/>
    <w:rsid w:val="1429149A"/>
    <w:rsid w:val="14515E97"/>
    <w:rsid w:val="146312C3"/>
    <w:rsid w:val="147010DC"/>
    <w:rsid w:val="148100B2"/>
    <w:rsid w:val="14FC3D52"/>
    <w:rsid w:val="15020214"/>
    <w:rsid w:val="150A005F"/>
    <w:rsid w:val="151F44D9"/>
    <w:rsid w:val="153E1C10"/>
    <w:rsid w:val="15642830"/>
    <w:rsid w:val="15AE21F3"/>
    <w:rsid w:val="15CF6A93"/>
    <w:rsid w:val="15D72A87"/>
    <w:rsid w:val="15EB4C96"/>
    <w:rsid w:val="16151062"/>
    <w:rsid w:val="1616307C"/>
    <w:rsid w:val="161B72F3"/>
    <w:rsid w:val="1695056F"/>
    <w:rsid w:val="1698261D"/>
    <w:rsid w:val="17186106"/>
    <w:rsid w:val="177418C8"/>
    <w:rsid w:val="17972A1B"/>
    <w:rsid w:val="17C70C0F"/>
    <w:rsid w:val="17E1341F"/>
    <w:rsid w:val="18064949"/>
    <w:rsid w:val="1823711D"/>
    <w:rsid w:val="187E0E4E"/>
    <w:rsid w:val="1885752D"/>
    <w:rsid w:val="189102D4"/>
    <w:rsid w:val="18CB487C"/>
    <w:rsid w:val="18CC3751"/>
    <w:rsid w:val="18D9654A"/>
    <w:rsid w:val="18E2727A"/>
    <w:rsid w:val="18EC17EC"/>
    <w:rsid w:val="19175B2E"/>
    <w:rsid w:val="19484D99"/>
    <w:rsid w:val="19574D7B"/>
    <w:rsid w:val="1968158B"/>
    <w:rsid w:val="19825168"/>
    <w:rsid w:val="198A31E7"/>
    <w:rsid w:val="19B95900"/>
    <w:rsid w:val="1A04763C"/>
    <w:rsid w:val="1A2F37A9"/>
    <w:rsid w:val="1A3509CD"/>
    <w:rsid w:val="1A464C8D"/>
    <w:rsid w:val="1A48016A"/>
    <w:rsid w:val="1A9A159D"/>
    <w:rsid w:val="1AD51E2A"/>
    <w:rsid w:val="1B2C6395"/>
    <w:rsid w:val="1B7202F0"/>
    <w:rsid w:val="1B7810A0"/>
    <w:rsid w:val="1B8456D9"/>
    <w:rsid w:val="1BAB659E"/>
    <w:rsid w:val="1BB21560"/>
    <w:rsid w:val="1C180A3C"/>
    <w:rsid w:val="1C3052C3"/>
    <w:rsid w:val="1C507DD2"/>
    <w:rsid w:val="1C5B21BE"/>
    <w:rsid w:val="1C611C4D"/>
    <w:rsid w:val="1C7D0B42"/>
    <w:rsid w:val="1C9424A0"/>
    <w:rsid w:val="1CBA0EE7"/>
    <w:rsid w:val="1D247FE9"/>
    <w:rsid w:val="1D31602F"/>
    <w:rsid w:val="1D4633D1"/>
    <w:rsid w:val="1D803C17"/>
    <w:rsid w:val="1DA278DB"/>
    <w:rsid w:val="1DCA1B32"/>
    <w:rsid w:val="1DED17E2"/>
    <w:rsid w:val="1E58434B"/>
    <w:rsid w:val="1EB2665E"/>
    <w:rsid w:val="1EDD3466"/>
    <w:rsid w:val="1F430A1F"/>
    <w:rsid w:val="1F693CAE"/>
    <w:rsid w:val="1FB523B9"/>
    <w:rsid w:val="1FBC223E"/>
    <w:rsid w:val="1FC846AB"/>
    <w:rsid w:val="1FF21817"/>
    <w:rsid w:val="1FFA74AE"/>
    <w:rsid w:val="20112456"/>
    <w:rsid w:val="2047626B"/>
    <w:rsid w:val="205477B0"/>
    <w:rsid w:val="2063651A"/>
    <w:rsid w:val="209D3383"/>
    <w:rsid w:val="20A37CB1"/>
    <w:rsid w:val="20B830E1"/>
    <w:rsid w:val="211816A7"/>
    <w:rsid w:val="21201F07"/>
    <w:rsid w:val="21362FF2"/>
    <w:rsid w:val="2168368C"/>
    <w:rsid w:val="216F425F"/>
    <w:rsid w:val="21A165C6"/>
    <w:rsid w:val="21AF3DFB"/>
    <w:rsid w:val="21EF4A64"/>
    <w:rsid w:val="22177763"/>
    <w:rsid w:val="225C400E"/>
    <w:rsid w:val="226B4239"/>
    <w:rsid w:val="22745A36"/>
    <w:rsid w:val="22AF6E62"/>
    <w:rsid w:val="232A796A"/>
    <w:rsid w:val="235F0E9C"/>
    <w:rsid w:val="23AF03B4"/>
    <w:rsid w:val="23C668B4"/>
    <w:rsid w:val="23EE56BD"/>
    <w:rsid w:val="240861CD"/>
    <w:rsid w:val="240D18EE"/>
    <w:rsid w:val="241446D8"/>
    <w:rsid w:val="2446578B"/>
    <w:rsid w:val="248E54CB"/>
    <w:rsid w:val="24B130FD"/>
    <w:rsid w:val="24CB383F"/>
    <w:rsid w:val="24F26DC7"/>
    <w:rsid w:val="252A7C24"/>
    <w:rsid w:val="2533357C"/>
    <w:rsid w:val="254433D3"/>
    <w:rsid w:val="25461F4D"/>
    <w:rsid w:val="255C2BAE"/>
    <w:rsid w:val="25B27149"/>
    <w:rsid w:val="25E644E5"/>
    <w:rsid w:val="25E81570"/>
    <w:rsid w:val="26294F65"/>
    <w:rsid w:val="26314C36"/>
    <w:rsid w:val="266C0778"/>
    <w:rsid w:val="26B47430"/>
    <w:rsid w:val="26FB555A"/>
    <w:rsid w:val="271633B4"/>
    <w:rsid w:val="276842C7"/>
    <w:rsid w:val="27C7423A"/>
    <w:rsid w:val="27F95E0B"/>
    <w:rsid w:val="280441C0"/>
    <w:rsid w:val="280D767B"/>
    <w:rsid w:val="285C0C04"/>
    <w:rsid w:val="28C16D35"/>
    <w:rsid w:val="28E872D8"/>
    <w:rsid w:val="29076E93"/>
    <w:rsid w:val="294C3608"/>
    <w:rsid w:val="2986101B"/>
    <w:rsid w:val="298C5E3F"/>
    <w:rsid w:val="29BF6E4A"/>
    <w:rsid w:val="29CC6CFC"/>
    <w:rsid w:val="29FB0CD2"/>
    <w:rsid w:val="2AC33970"/>
    <w:rsid w:val="2B083E11"/>
    <w:rsid w:val="2B5C4159"/>
    <w:rsid w:val="2B68513A"/>
    <w:rsid w:val="2B733CD7"/>
    <w:rsid w:val="2B8A3E21"/>
    <w:rsid w:val="2BAD0B9A"/>
    <w:rsid w:val="2BCF55E9"/>
    <w:rsid w:val="2BF103D6"/>
    <w:rsid w:val="2C0033D1"/>
    <w:rsid w:val="2C492FEF"/>
    <w:rsid w:val="2C4C1184"/>
    <w:rsid w:val="2C5166DC"/>
    <w:rsid w:val="2CBD1B22"/>
    <w:rsid w:val="2CF34871"/>
    <w:rsid w:val="2CF55B73"/>
    <w:rsid w:val="2D2E453B"/>
    <w:rsid w:val="2D4073E7"/>
    <w:rsid w:val="2D441091"/>
    <w:rsid w:val="2D5145B2"/>
    <w:rsid w:val="2D7A2B5E"/>
    <w:rsid w:val="2D904AF7"/>
    <w:rsid w:val="2D9D3EEB"/>
    <w:rsid w:val="2D9D6FC1"/>
    <w:rsid w:val="2DB71BD4"/>
    <w:rsid w:val="2DD028F6"/>
    <w:rsid w:val="2DF32144"/>
    <w:rsid w:val="2E19687F"/>
    <w:rsid w:val="2E433D05"/>
    <w:rsid w:val="2E6F72BA"/>
    <w:rsid w:val="2E785A3B"/>
    <w:rsid w:val="2EBA7F83"/>
    <w:rsid w:val="2EEF028D"/>
    <w:rsid w:val="2EF053ED"/>
    <w:rsid w:val="2F051F08"/>
    <w:rsid w:val="2F0D657B"/>
    <w:rsid w:val="2F353B6A"/>
    <w:rsid w:val="2F741B25"/>
    <w:rsid w:val="2FA110E9"/>
    <w:rsid w:val="2FDB3A77"/>
    <w:rsid w:val="2FDC347B"/>
    <w:rsid w:val="2FE051C8"/>
    <w:rsid w:val="300E5F88"/>
    <w:rsid w:val="301F426F"/>
    <w:rsid w:val="30204E2B"/>
    <w:rsid w:val="303F7FA2"/>
    <w:rsid w:val="304C140E"/>
    <w:rsid w:val="3083009A"/>
    <w:rsid w:val="309A455E"/>
    <w:rsid w:val="30B36BAA"/>
    <w:rsid w:val="30DF458C"/>
    <w:rsid w:val="31070D35"/>
    <w:rsid w:val="311E04DC"/>
    <w:rsid w:val="312E3356"/>
    <w:rsid w:val="31313C2D"/>
    <w:rsid w:val="314656BC"/>
    <w:rsid w:val="31663D78"/>
    <w:rsid w:val="31802499"/>
    <w:rsid w:val="31B86101"/>
    <w:rsid w:val="31C77698"/>
    <w:rsid w:val="31FA25E0"/>
    <w:rsid w:val="321D6911"/>
    <w:rsid w:val="323F08A4"/>
    <w:rsid w:val="32B2274F"/>
    <w:rsid w:val="32BF1F15"/>
    <w:rsid w:val="32EB1351"/>
    <w:rsid w:val="332B2D01"/>
    <w:rsid w:val="33420460"/>
    <w:rsid w:val="3348552A"/>
    <w:rsid w:val="335620A1"/>
    <w:rsid w:val="3361627D"/>
    <w:rsid w:val="33996C23"/>
    <w:rsid w:val="33AA4D9B"/>
    <w:rsid w:val="33E5321A"/>
    <w:rsid w:val="33FA63F7"/>
    <w:rsid w:val="3400299F"/>
    <w:rsid w:val="342E2982"/>
    <w:rsid w:val="345E2603"/>
    <w:rsid w:val="34607C17"/>
    <w:rsid w:val="347A6DD3"/>
    <w:rsid w:val="34834C4E"/>
    <w:rsid w:val="34C24104"/>
    <w:rsid w:val="34CB1F73"/>
    <w:rsid w:val="355B6BC3"/>
    <w:rsid w:val="356C1D89"/>
    <w:rsid w:val="356C7F60"/>
    <w:rsid w:val="35964E89"/>
    <w:rsid w:val="35B07B5F"/>
    <w:rsid w:val="35F035FB"/>
    <w:rsid w:val="36155670"/>
    <w:rsid w:val="361B5F7B"/>
    <w:rsid w:val="3633024F"/>
    <w:rsid w:val="364F1417"/>
    <w:rsid w:val="36645E50"/>
    <w:rsid w:val="366603E4"/>
    <w:rsid w:val="36C71D93"/>
    <w:rsid w:val="36F156E4"/>
    <w:rsid w:val="371939DD"/>
    <w:rsid w:val="372D71E5"/>
    <w:rsid w:val="374138B3"/>
    <w:rsid w:val="376304F7"/>
    <w:rsid w:val="37842E31"/>
    <w:rsid w:val="37912D86"/>
    <w:rsid w:val="383307D9"/>
    <w:rsid w:val="3833663C"/>
    <w:rsid w:val="384674F8"/>
    <w:rsid w:val="38B13E02"/>
    <w:rsid w:val="38D66BFB"/>
    <w:rsid w:val="38F26810"/>
    <w:rsid w:val="399A5CDB"/>
    <w:rsid w:val="39A276AB"/>
    <w:rsid w:val="39AB6604"/>
    <w:rsid w:val="39C11671"/>
    <w:rsid w:val="39C36570"/>
    <w:rsid w:val="39D70448"/>
    <w:rsid w:val="3A030BBE"/>
    <w:rsid w:val="3A7D182D"/>
    <w:rsid w:val="3AA67CB0"/>
    <w:rsid w:val="3AD329A7"/>
    <w:rsid w:val="3AD9178D"/>
    <w:rsid w:val="3B685F28"/>
    <w:rsid w:val="3B706D45"/>
    <w:rsid w:val="3B7635B4"/>
    <w:rsid w:val="3BC811A9"/>
    <w:rsid w:val="3BE46826"/>
    <w:rsid w:val="3C044C60"/>
    <w:rsid w:val="3C117FE2"/>
    <w:rsid w:val="3C1761CB"/>
    <w:rsid w:val="3C1F3F48"/>
    <w:rsid w:val="3C201A7A"/>
    <w:rsid w:val="3C6B5173"/>
    <w:rsid w:val="3C897C30"/>
    <w:rsid w:val="3CE44CFD"/>
    <w:rsid w:val="3D047385"/>
    <w:rsid w:val="3D6E65B4"/>
    <w:rsid w:val="3D934E0D"/>
    <w:rsid w:val="3E235F55"/>
    <w:rsid w:val="3E62617C"/>
    <w:rsid w:val="3EE45B1E"/>
    <w:rsid w:val="3F2D24B0"/>
    <w:rsid w:val="3F456D42"/>
    <w:rsid w:val="3F457BB2"/>
    <w:rsid w:val="3F67718C"/>
    <w:rsid w:val="3F6B0E1C"/>
    <w:rsid w:val="3FD96A0B"/>
    <w:rsid w:val="3FFC23DA"/>
    <w:rsid w:val="403F2764"/>
    <w:rsid w:val="4097589B"/>
    <w:rsid w:val="41135147"/>
    <w:rsid w:val="414437D8"/>
    <w:rsid w:val="4163224F"/>
    <w:rsid w:val="41882518"/>
    <w:rsid w:val="41A27598"/>
    <w:rsid w:val="41D1073C"/>
    <w:rsid w:val="41D73517"/>
    <w:rsid w:val="41F927B0"/>
    <w:rsid w:val="4205726F"/>
    <w:rsid w:val="42301CF7"/>
    <w:rsid w:val="42311800"/>
    <w:rsid w:val="427A1949"/>
    <w:rsid w:val="429B4432"/>
    <w:rsid w:val="429F18A7"/>
    <w:rsid w:val="42C528E2"/>
    <w:rsid w:val="42E6081E"/>
    <w:rsid w:val="42F107BC"/>
    <w:rsid w:val="42F876C8"/>
    <w:rsid w:val="43511CF3"/>
    <w:rsid w:val="43B11EAC"/>
    <w:rsid w:val="43B62156"/>
    <w:rsid w:val="43B87F18"/>
    <w:rsid w:val="43BA479B"/>
    <w:rsid w:val="43C92F01"/>
    <w:rsid w:val="43F05407"/>
    <w:rsid w:val="43F1553E"/>
    <w:rsid w:val="44BB154C"/>
    <w:rsid w:val="44F34E76"/>
    <w:rsid w:val="44FF43AD"/>
    <w:rsid w:val="45085845"/>
    <w:rsid w:val="454732BD"/>
    <w:rsid w:val="45574673"/>
    <w:rsid w:val="45757878"/>
    <w:rsid w:val="460E77E4"/>
    <w:rsid w:val="461C1182"/>
    <w:rsid w:val="46390FC9"/>
    <w:rsid w:val="464246ED"/>
    <w:rsid w:val="465F7491"/>
    <w:rsid w:val="4669108E"/>
    <w:rsid w:val="46846DEF"/>
    <w:rsid w:val="469315FE"/>
    <w:rsid w:val="46C76027"/>
    <w:rsid w:val="46CA5D9D"/>
    <w:rsid w:val="47127666"/>
    <w:rsid w:val="47227F04"/>
    <w:rsid w:val="475D3EB0"/>
    <w:rsid w:val="47C12B82"/>
    <w:rsid w:val="48345C02"/>
    <w:rsid w:val="4850710C"/>
    <w:rsid w:val="485455EC"/>
    <w:rsid w:val="486C69D8"/>
    <w:rsid w:val="48715900"/>
    <w:rsid w:val="487F171F"/>
    <w:rsid w:val="48967096"/>
    <w:rsid w:val="48EC3F6E"/>
    <w:rsid w:val="491D7D1B"/>
    <w:rsid w:val="49320015"/>
    <w:rsid w:val="49451C86"/>
    <w:rsid w:val="49603886"/>
    <w:rsid w:val="499B5607"/>
    <w:rsid w:val="499C64F3"/>
    <w:rsid w:val="49BB27B9"/>
    <w:rsid w:val="49D77104"/>
    <w:rsid w:val="49DB64F0"/>
    <w:rsid w:val="4A015ABC"/>
    <w:rsid w:val="4A047276"/>
    <w:rsid w:val="4A2F2682"/>
    <w:rsid w:val="4A7C1206"/>
    <w:rsid w:val="4AA1323E"/>
    <w:rsid w:val="4AD80333"/>
    <w:rsid w:val="4AED0B37"/>
    <w:rsid w:val="4B221492"/>
    <w:rsid w:val="4B6E1F19"/>
    <w:rsid w:val="4B935542"/>
    <w:rsid w:val="4BA238D2"/>
    <w:rsid w:val="4BC2073B"/>
    <w:rsid w:val="4BDB59F0"/>
    <w:rsid w:val="4BF9397C"/>
    <w:rsid w:val="4C2F22E8"/>
    <w:rsid w:val="4C3C4237"/>
    <w:rsid w:val="4C8A08EA"/>
    <w:rsid w:val="4C9227B1"/>
    <w:rsid w:val="4CD65EE5"/>
    <w:rsid w:val="4CE7630F"/>
    <w:rsid w:val="4D101B62"/>
    <w:rsid w:val="4E1F02AE"/>
    <w:rsid w:val="4E2C403B"/>
    <w:rsid w:val="4E4929FF"/>
    <w:rsid w:val="4E520FEF"/>
    <w:rsid w:val="4E6D44FE"/>
    <w:rsid w:val="4E7B0BBC"/>
    <w:rsid w:val="4E985801"/>
    <w:rsid w:val="4EB76871"/>
    <w:rsid w:val="4EBD3A5C"/>
    <w:rsid w:val="4ED07316"/>
    <w:rsid w:val="4F20054D"/>
    <w:rsid w:val="4F323011"/>
    <w:rsid w:val="4F39784F"/>
    <w:rsid w:val="4F667FC2"/>
    <w:rsid w:val="4FA44460"/>
    <w:rsid w:val="4FCE128D"/>
    <w:rsid w:val="4FFC4D05"/>
    <w:rsid w:val="503E64D6"/>
    <w:rsid w:val="506377A2"/>
    <w:rsid w:val="5068436B"/>
    <w:rsid w:val="507421C2"/>
    <w:rsid w:val="50750745"/>
    <w:rsid w:val="50926E1A"/>
    <w:rsid w:val="50942CD6"/>
    <w:rsid w:val="509673D7"/>
    <w:rsid w:val="50EE5E5B"/>
    <w:rsid w:val="50F276D7"/>
    <w:rsid w:val="51070B96"/>
    <w:rsid w:val="518170F7"/>
    <w:rsid w:val="51CE75C1"/>
    <w:rsid w:val="522C3D5B"/>
    <w:rsid w:val="52316C03"/>
    <w:rsid w:val="52446138"/>
    <w:rsid w:val="526B1E06"/>
    <w:rsid w:val="52AE7DD5"/>
    <w:rsid w:val="52B57EDA"/>
    <w:rsid w:val="52C45381"/>
    <w:rsid w:val="53100923"/>
    <w:rsid w:val="53540F36"/>
    <w:rsid w:val="53CD2CF6"/>
    <w:rsid w:val="53F54C71"/>
    <w:rsid w:val="540B14D8"/>
    <w:rsid w:val="54D17F88"/>
    <w:rsid w:val="54D400BB"/>
    <w:rsid w:val="553F30C3"/>
    <w:rsid w:val="557C171C"/>
    <w:rsid w:val="55A41AFE"/>
    <w:rsid w:val="55C357FD"/>
    <w:rsid w:val="55ED6044"/>
    <w:rsid w:val="56493A65"/>
    <w:rsid w:val="566057DC"/>
    <w:rsid w:val="567B6F33"/>
    <w:rsid w:val="56916A52"/>
    <w:rsid w:val="569F3244"/>
    <w:rsid w:val="56A6637C"/>
    <w:rsid w:val="56B9105D"/>
    <w:rsid w:val="56BA13F9"/>
    <w:rsid w:val="56F51BDA"/>
    <w:rsid w:val="5713256F"/>
    <w:rsid w:val="57296FE9"/>
    <w:rsid w:val="572D782F"/>
    <w:rsid w:val="57633767"/>
    <w:rsid w:val="57AE56D2"/>
    <w:rsid w:val="57C36597"/>
    <w:rsid w:val="57E0772E"/>
    <w:rsid w:val="57E44321"/>
    <w:rsid w:val="57FB1DB0"/>
    <w:rsid w:val="585F05CD"/>
    <w:rsid w:val="5870224C"/>
    <w:rsid w:val="592C77AB"/>
    <w:rsid w:val="5945538E"/>
    <w:rsid w:val="597005A8"/>
    <w:rsid w:val="597B7AF7"/>
    <w:rsid w:val="59C02C07"/>
    <w:rsid w:val="59C3554B"/>
    <w:rsid w:val="59C35DE4"/>
    <w:rsid w:val="59FF20AB"/>
    <w:rsid w:val="5A551B3E"/>
    <w:rsid w:val="5A5867CC"/>
    <w:rsid w:val="5A7B5C07"/>
    <w:rsid w:val="5AB6690A"/>
    <w:rsid w:val="5AC060B5"/>
    <w:rsid w:val="5AF30848"/>
    <w:rsid w:val="5B0A5440"/>
    <w:rsid w:val="5B5752E4"/>
    <w:rsid w:val="5B680666"/>
    <w:rsid w:val="5B6E52CF"/>
    <w:rsid w:val="5B773101"/>
    <w:rsid w:val="5BA811A4"/>
    <w:rsid w:val="5BAB0A1A"/>
    <w:rsid w:val="5BB2510C"/>
    <w:rsid w:val="5BE47E80"/>
    <w:rsid w:val="5BFD6612"/>
    <w:rsid w:val="5BFF1FC1"/>
    <w:rsid w:val="5C2363F6"/>
    <w:rsid w:val="5CDF1C6A"/>
    <w:rsid w:val="5D551236"/>
    <w:rsid w:val="5D5646D1"/>
    <w:rsid w:val="5D8354EF"/>
    <w:rsid w:val="5D89534D"/>
    <w:rsid w:val="5E0B3AD5"/>
    <w:rsid w:val="5E6044AD"/>
    <w:rsid w:val="5E7A77B7"/>
    <w:rsid w:val="5E957E9D"/>
    <w:rsid w:val="5EC56890"/>
    <w:rsid w:val="5EC935C1"/>
    <w:rsid w:val="5F24080A"/>
    <w:rsid w:val="5F4D79C2"/>
    <w:rsid w:val="5F9C5B70"/>
    <w:rsid w:val="5FB93881"/>
    <w:rsid w:val="60025E41"/>
    <w:rsid w:val="60332165"/>
    <w:rsid w:val="60626392"/>
    <w:rsid w:val="60726C2F"/>
    <w:rsid w:val="60964D4D"/>
    <w:rsid w:val="60A066C5"/>
    <w:rsid w:val="610B636A"/>
    <w:rsid w:val="61297084"/>
    <w:rsid w:val="6146629F"/>
    <w:rsid w:val="614F7DF6"/>
    <w:rsid w:val="616E1F46"/>
    <w:rsid w:val="61890DA5"/>
    <w:rsid w:val="619112A7"/>
    <w:rsid w:val="61A4798D"/>
    <w:rsid w:val="61C21B0E"/>
    <w:rsid w:val="622A0E73"/>
    <w:rsid w:val="626756DA"/>
    <w:rsid w:val="62723ECB"/>
    <w:rsid w:val="6290502B"/>
    <w:rsid w:val="62961795"/>
    <w:rsid w:val="62A9238B"/>
    <w:rsid w:val="62B825CD"/>
    <w:rsid w:val="62D97233"/>
    <w:rsid w:val="6312466D"/>
    <w:rsid w:val="634764A9"/>
    <w:rsid w:val="63BE52D1"/>
    <w:rsid w:val="63C62184"/>
    <w:rsid w:val="63DE142B"/>
    <w:rsid w:val="63F0529E"/>
    <w:rsid w:val="645411C5"/>
    <w:rsid w:val="645F7498"/>
    <w:rsid w:val="64CF30B4"/>
    <w:rsid w:val="65344883"/>
    <w:rsid w:val="653D07ED"/>
    <w:rsid w:val="659F544E"/>
    <w:rsid w:val="65C92317"/>
    <w:rsid w:val="65CA6778"/>
    <w:rsid w:val="6613437F"/>
    <w:rsid w:val="662928BF"/>
    <w:rsid w:val="662E3291"/>
    <w:rsid w:val="66447E9D"/>
    <w:rsid w:val="66AF1114"/>
    <w:rsid w:val="66CD5811"/>
    <w:rsid w:val="6725525C"/>
    <w:rsid w:val="67401828"/>
    <w:rsid w:val="677208F5"/>
    <w:rsid w:val="678D07BB"/>
    <w:rsid w:val="67E3430E"/>
    <w:rsid w:val="67F54DF8"/>
    <w:rsid w:val="682B1CDB"/>
    <w:rsid w:val="683979ED"/>
    <w:rsid w:val="686625FF"/>
    <w:rsid w:val="686C3A11"/>
    <w:rsid w:val="68782802"/>
    <w:rsid w:val="68A056AD"/>
    <w:rsid w:val="68CA2DC0"/>
    <w:rsid w:val="68D43F51"/>
    <w:rsid w:val="68E35AF4"/>
    <w:rsid w:val="69270C3E"/>
    <w:rsid w:val="693D3E94"/>
    <w:rsid w:val="69425476"/>
    <w:rsid w:val="69604DEC"/>
    <w:rsid w:val="698B684B"/>
    <w:rsid w:val="69B56640"/>
    <w:rsid w:val="69F523A3"/>
    <w:rsid w:val="6A241CF1"/>
    <w:rsid w:val="6A242BB0"/>
    <w:rsid w:val="6A5E7776"/>
    <w:rsid w:val="6A604672"/>
    <w:rsid w:val="6B3D12CE"/>
    <w:rsid w:val="6B853BE6"/>
    <w:rsid w:val="6B8D55BE"/>
    <w:rsid w:val="6BAD692C"/>
    <w:rsid w:val="6BC15BE6"/>
    <w:rsid w:val="6BC8660D"/>
    <w:rsid w:val="6BFA3665"/>
    <w:rsid w:val="6C361A3B"/>
    <w:rsid w:val="6C376AD1"/>
    <w:rsid w:val="6C422A99"/>
    <w:rsid w:val="6C98720D"/>
    <w:rsid w:val="6CD86021"/>
    <w:rsid w:val="6D091AF2"/>
    <w:rsid w:val="6D140382"/>
    <w:rsid w:val="6DC2728A"/>
    <w:rsid w:val="6DD773CA"/>
    <w:rsid w:val="6DFF5885"/>
    <w:rsid w:val="6E1E30D1"/>
    <w:rsid w:val="6E2853FB"/>
    <w:rsid w:val="6E840286"/>
    <w:rsid w:val="6EC03447"/>
    <w:rsid w:val="6EC05FA8"/>
    <w:rsid w:val="6EDC1DDA"/>
    <w:rsid w:val="6F794B6E"/>
    <w:rsid w:val="6FB11DA7"/>
    <w:rsid w:val="6FEC4BA9"/>
    <w:rsid w:val="70194B51"/>
    <w:rsid w:val="703E7E64"/>
    <w:rsid w:val="70424C8A"/>
    <w:rsid w:val="70706137"/>
    <w:rsid w:val="710D1DF8"/>
    <w:rsid w:val="71131A1C"/>
    <w:rsid w:val="711F766D"/>
    <w:rsid w:val="716D45FF"/>
    <w:rsid w:val="717A1C62"/>
    <w:rsid w:val="72737DEF"/>
    <w:rsid w:val="729F2908"/>
    <w:rsid w:val="72BC4F3D"/>
    <w:rsid w:val="72BF5A0D"/>
    <w:rsid w:val="72C072EF"/>
    <w:rsid w:val="7303004F"/>
    <w:rsid w:val="736C39F0"/>
    <w:rsid w:val="739263BD"/>
    <w:rsid w:val="73A379F9"/>
    <w:rsid w:val="73EB22FE"/>
    <w:rsid w:val="741902A6"/>
    <w:rsid w:val="7425399B"/>
    <w:rsid w:val="749B43E7"/>
    <w:rsid w:val="74B034BD"/>
    <w:rsid w:val="74BC1E94"/>
    <w:rsid w:val="74CD4E12"/>
    <w:rsid w:val="74D1654D"/>
    <w:rsid w:val="74D26639"/>
    <w:rsid w:val="74DB48F9"/>
    <w:rsid w:val="74DD2F6C"/>
    <w:rsid w:val="74E20CBE"/>
    <w:rsid w:val="74EE584D"/>
    <w:rsid w:val="75316C7D"/>
    <w:rsid w:val="755420A6"/>
    <w:rsid w:val="757A1BE8"/>
    <w:rsid w:val="75815412"/>
    <w:rsid w:val="7589662D"/>
    <w:rsid w:val="759F71E9"/>
    <w:rsid w:val="75C2371C"/>
    <w:rsid w:val="764B7413"/>
    <w:rsid w:val="767C293E"/>
    <w:rsid w:val="768A345C"/>
    <w:rsid w:val="76D9189B"/>
    <w:rsid w:val="771C78EE"/>
    <w:rsid w:val="7726621D"/>
    <w:rsid w:val="77830F25"/>
    <w:rsid w:val="778F4AF7"/>
    <w:rsid w:val="781F47B9"/>
    <w:rsid w:val="786877E1"/>
    <w:rsid w:val="78AD1B17"/>
    <w:rsid w:val="78B87907"/>
    <w:rsid w:val="790004AD"/>
    <w:rsid w:val="7915072E"/>
    <w:rsid w:val="795D0FEA"/>
    <w:rsid w:val="79C93AA5"/>
    <w:rsid w:val="79FD0F55"/>
    <w:rsid w:val="7A240B55"/>
    <w:rsid w:val="7A267940"/>
    <w:rsid w:val="7A3C72B0"/>
    <w:rsid w:val="7A417C67"/>
    <w:rsid w:val="7AA4302C"/>
    <w:rsid w:val="7ADE07FF"/>
    <w:rsid w:val="7B5A64B9"/>
    <w:rsid w:val="7B6837C6"/>
    <w:rsid w:val="7B897BD5"/>
    <w:rsid w:val="7B90156F"/>
    <w:rsid w:val="7BBB2AE1"/>
    <w:rsid w:val="7C19347E"/>
    <w:rsid w:val="7C2824D6"/>
    <w:rsid w:val="7C291354"/>
    <w:rsid w:val="7C4338FF"/>
    <w:rsid w:val="7C8B51FA"/>
    <w:rsid w:val="7C947049"/>
    <w:rsid w:val="7C9C72AB"/>
    <w:rsid w:val="7CB17363"/>
    <w:rsid w:val="7CC94C24"/>
    <w:rsid w:val="7CCB7182"/>
    <w:rsid w:val="7CEF2E83"/>
    <w:rsid w:val="7CFA3877"/>
    <w:rsid w:val="7D4E1946"/>
    <w:rsid w:val="7D524692"/>
    <w:rsid w:val="7DA25FBE"/>
    <w:rsid w:val="7DCB15AB"/>
    <w:rsid w:val="7DFA764F"/>
    <w:rsid w:val="7E2672AF"/>
    <w:rsid w:val="7E6475D5"/>
    <w:rsid w:val="7F202066"/>
    <w:rsid w:val="7F27434E"/>
    <w:rsid w:val="7F2E553E"/>
    <w:rsid w:val="7F5058B2"/>
    <w:rsid w:val="7F6A5290"/>
    <w:rsid w:val="7F844E87"/>
    <w:rsid w:val="7F9C05A7"/>
    <w:rsid w:val="7FAC29EA"/>
    <w:rsid w:val="7FC1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2024-05-08T09:24:00Z</dcterms:created>
  <dc:creator>傅莎</dc:creator>
  <cp:lastModifiedBy>傅莎</cp:lastModifiedBy>
  <dcterms:modified xsi:type="dcterms:W3CDTF">2024-05-08T09:25:18Z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DDB6FAE4497D48B7A3B9D5269FDE4F94</vt:lpwstr>
  </property>
</Properties>
</file>